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7-e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R4-2016594</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2-13 Nov.,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 Qualcomm Incorporated</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Scope and work split of test cases for IAB-MTs</w:t>
      </w:r>
      <w:r>
        <w:rPr>
          <w:rFonts w:ascii="Arial" w:hAnsi="Arial" w:eastAsia="Calibri" w:cs="Arial"/>
          <w:b/>
          <w:bCs/>
          <w:sz w:val="24"/>
          <w:lang w:val="en-GB"/>
        </w:rPr>
        <w:t xml:space="preserve"> </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MS Mincho" w:cs="Arial"/>
          <w:b/>
          <w:bCs/>
          <w:sz w:val="24"/>
          <w:szCs w:val="20"/>
        </w:rPr>
        <w:t>7.</w:t>
      </w:r>
      <w:r>
        <w:rPr>
          <w:rFonts w:hint="eastAsia" w:ascii="Arial" w:hAnsi="Arial" w:eastAsia="宋体" w:cs="Arial"/>
          <w:b/>
          <w:bCs/>
          <w:sz w:val="24"/>
          <w:szCs w:val="20"/>
          <w:lang w:val="en-US" w:eastAsia="zh-CN"/>
        </w:rPr>
        <w:t>4.5</w:t>
      </w:r>
      <w:r>
        <w:rPr>
          <w:rFonts w:hint="eastAsia" w:ascii="Arial" w:hAnsi="Arial" w:eastAsia="MS Mincho" w:cs="Arial"/>
          <w:b/>
          <w:bCs/>
          <w:sz w:val="24"/>
          <w:szCs w:val="20"/>
        </w:rPr>
        <w:t>.1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6"/>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96-e, the RRM core requirements for IAB-MTs have been completed. In the upcoming RAN4 meeting, which is RAN4 97-e, companies are encouraged to discuss the scope of TCs and the work split, based on which draft CRs can be submitted to add corresponding test cases to the spec.</w:t>
      </w:r>
    </w:p>
    <w:p>
      <w:pPr>
        <w:pStyle w:val="41"/>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scope of the TCs and provide our view on possible work splits.</w:t>
      </w:r>
    </w:p>
    <w:p>
      <w:pPr>
        <w:pStyle w:val="33"/>
        <w:jc w:val="both"/>
        <w:rPr>
          <w:rFonts w:hint="default" w:eastAsia="宋体"/>
          <w:lang w:val="en-US" w:eastAsia="zh-CN"/>
        </w:rPr>
      </w:pPr>
      <w:r>
        <w:t>2</w:t>
      </w:r>
      <w:r>
        <w:tab/>
      </w:r>
      <w:r>
        <w:rPr>
          <w:rFonts w:hint="eastAsia"/>
          <w:lang w:val="en-US" w:eastAsia="zh-CN"/>
        </w:rPr>
        <w:t>TC and work split</w:t>
      </w:r>
    </w:p>
    <w:p>
      <w:pPr>
        <w:pStyle w:val="41"/>
        <w:numPr>
          <w:ilvl w:val="0"/>
          <w:numId w:val="0"/>
        </w:numPr>
        <w:ind w:leftChars="0"/>
        <w:rPr>
          <w:rFonts w:hint="default"/>
          <w:b w:val="0"/>
          <w:bCs/>
          <w:lang w:val="en-US" w:eastAsia="zh-CN"/>
        </w:rPr>
      </w:pPr>
      <w:r>
        <w:rPr>
          <w:rFonts w:hint="eastAsia"/>
          <w:b w:val="0"/>
          <w:bCs/>
          <w:lang w:val="en-US" w:eastAsia="zh-CN"/>
        </w:rPr>
        <w:t>For IAB-MTs, the RRM requirements are defined in clause 12 in TS 38.174. Here we copy the skeleton of the RRM requirements specified in TS 38.174.</w:t>
      </w:r>
    </w:p>
    <w:p>
      <w:pPr>
        <w:pStyle w:val="16"/>
        <w:tabs>
          <w:tab w:val="right" w:leader="dot" w:pos="9639"/>
        </w:tabs>
        <w:rPr>
          <w:rFonts w:asciiTheme="minorHAnsi" w:hAnsiTheme="minorHAnsi" w:eastAsiaTheme="minorEastAsia" w:cstheme="minorBidi"/>
          <w:szCs w:val="22"/>
        </w:rPr>
      </w:pPr>
      <w:r>
        <w:t>12 Radio Resource Management requirements</w:t>
      </w:r>
      <w:r>
        <w:tab/>
      </w:r>
      <w:r>
        <w:fldChar w:fldCharType="begin" w:fldLock="1"/>
      </w:r>
      <w:r>
        <w:instrText xml:space="preserve"> PAGEREF _Toc53185955 \h </w:instrText>
      </w:r>
      <w:r>
        <w:fldChar w:fldCharType="separate"/>
      </w:r>
      <w:r>
        <w:t>97</w:t>
      </w:r>
      <w:r>
        <w:fldChar w:fldCharType="end"/>
      </w:r>
    </w:p>
    <w:p>
      <w:pPr>
        <w:pStyle w:val="15"/>
        <w:tabs>
          <w:tab w:val="right" w:leader="dot" w:pos="9639"/>
        </w:tabs>
        <w:ind w:left="0" w:leftChars="0" w:firstLine="0" w:firstLineChars="0"/>
        <w:rPr>
          <w:rFonts w:asciiTheme="minorHAnsi" w:hAnsiTheme="minorHAnsi" w:eastAsiaTheme="minorEastAsia" w:cstheme="minorBidi"/>
          <w:sz w:val="22"/>
          <w:szCs w:val="22"/>
        </w:rPr>
      </w:pPr>
      <w:r>
        <w:t>12.1 RRC_CONNECTED state mobility for IAB-MTs</w:t>
      </w:r>
      <w:r>
        <w:tab/>
      </w:r>
      <w:r>
        <w:fldChar w:fldCharType="begin" w:fldLock="1"/>
      </w:r>
      <w:r>
        <w:instrText xml:space="preserve"> PAGEREF _Toc53185956 \h </w:instrText>
      </w:r>
      <w:r>
        <w:fldChar w:fldCharType="separate"/>
      </w:r>
      <w:r>
        <w:t>97</w:t>
      </w:r>
      <w:r>
        <w:fldChar w:fldCharType="end"/>
      </w:r>
    </w:p>
    <w:p>
      <w:pPr>
        <w:pStyle w:val="14"/>
        <w:rPr>
          <w:rFonts w:asciiTheme="minorHAnsi" w:hAnsiTheme="minorHAnsi" w:eastAsiaTheme="minorEastAsia" w:cstheme="minorBidi"/>
          <w:sz w:val="22"/>
          <w:szCs w:val="22"/>
        </w:rPr>
      </w:pPr>
      <w:r>
        <w:t>12.1.1 RRC Connection Mobility Control</w:t>
      </w:r>
      <w:r>
        <w:tab/>
      </w:r>
      <w:r>
        <w:fldChar w:fldCharType="begin" w:fldLock="1"/>
      </w:r>
      <w:r>
        <w:instrText xml:space="preserve"> PAGEREF _Toc53185957 \h </w:instrText>
      </w:r>
      <w:r>
        <w:fldChar w:fldCharType="separate"/>
      </w:r>
      <w:r>
        <w:t>97</w:t>
      </w:r>
      <w:r>
        <w:fldChar w:fldCharType="end"/>
      </w:r>
    </w:p>
    <w:p>
      <w:pPr>
        <w:pStyle w:val="13"/>
        <w:rPr>
          <w:rFonts w:asciiTheme="minorHAnsi" w:hAnsiTheme="minorHAnsi" w:eastAsiaTheme="minorEastAsia" w:cstheme="minorBidi"/>
          <w:sz w:val="22"/>
          <w:szCs w:val="22"/>
        </w:rPr>
      </w:pPr>
      <w:r>
        <w:t>12.1.1.1 SA: RRC Re-establishment</w:t>
      </w:r>
      <w:r>
        <w:tab/>
      </w:r>
      <w:r>
        <w:fldChar w:fldCharType="begin" w:fldLock="1"/>
      </w:r>
      <w:r>
        <w:instrText xml:space="preserve"> PAGEREF _Toc53185958 \h </w:instrText>
      </w:r>
      <w:r>
        <w:fldChar w:fldCharType="separate"/>
      </w:r>
      <w:r>
        <w:t>97</w:t>
      </w:r>
      <w:r>
        <w:fldChar w:fldCharType="end"/>
      </w:r>
    </w:p>
    <w:p>
      <w:pPr>
        <w:pStyle w:val="12"/>
        <w:rPr>
          <w:rFonts w:asciiTheme="minorHAnsi" w:hAnsiTheme="minorHAnsi" w:eastAsiaTheme="minorEastAsia" w:cstheme="minorBidi"/>
          <w:sz w:val="22"/>
          <w:szCs w:val="22"/>
        </w:rPr>
      </w:pPr>
      <w:r>
        <w:rPr>
          <w:rFonts w:eastAsia="宋体"/>
        </w:rPr>
        <w:t>12.1.1.1.1</w:t>
      </w:r>
      <w:r>
        <w:rPr>
          <w:rFonts w:asciiTheme="minorHAnsi" w:hAnsiTheme="minorHAnsi" w:eastAsiaTheme="minorEastAsia" w:cstheme="minorBidi"/>
          <w:sz w:val="22"/>
          <w:szCs w:val="22"/>
        </w:rPr>
        <w:tab/>
      </w:r>
      <w:r>
        <w:t>Introduction</w:t>
      </w:r>
      <w:r>
        <w:tab/>
      </w:r>
      <w:r>
        <w:fldChar w:fldCharType="begin" w:fldLock="1"/>
      </w:r>
      <w:r>
        <w:instrText xml:space="preserve"> PAGEREF _Toc53185959 \h </w:instrText>
      </w:r>
      <w:r>
        <w:fldChar w:fldCharType="separate"/>
      </w:r>
      <w:r>
        <w:t>97</w:t>
      </w:r>
      <w:r>
        <w:fldChar w:fldCharType="end"/>
      </w:r>
    </w:p>
    <w:p>
      <w:pPr>
        <w:pStyle w:val="12"/>
        <w:rPr>
          <w:rFonts w:asciiTheme="minorHAnsi" w:hAnsiTheme="minorHAnsi" w:eastAsiaTheme="minorEastAsia" w:cstheme="minorBidi"/>
          <w:sz w:val="22"/>
          <w:szCs w:val="22"/>
        </w:rPr>
      </w:pPr>
      <w:r>
        <w:rPr>
          <w:rFonts w:eastAsia="宋体"/>
        </w:rPr>
        <w:t>12.1.1.1.2</w:t>
      </w:r>
      <w:r>
        <w:rPr>
          <w:rFonts w:asciiTheme="minorHAnsi" w:hAnsiTheme="minorHAnsi" w:eastAsiaTheme="minorEastAsia" w:cstheme="minorBidi"/>
          <w:sz w:val="22"/>
          <w:szCs w:val="22"/>
        </w:rPr>
        <w:tab/>
      </w:r>
      <w:r>
        <w:t>Requirements</w:t>
      </w:r>
      <w:r>
        <w:tab/>
      </w:r>
      <w:r>
        <w:fldChar w:fldCharType="begin" w:fldLock="1"/>
      </w:r>
      <w:r>
        <w:instrText xml:space="preserve"> PAGEREF _Toc53185960 \h </w:instrText>
      </w:r>
      <w:r>
        <w:fldChar w:fldCharType="separate"/>
      </w:r>
      <w:r>
        <w:t>97</w:t>
      </w:r>
      <w:r>
        <w:fldChar w:fldCharType="end"/>
      </w:r>
    </w:p>
    <w:p>
      <w:pPr>
        <w:pStyle w:val="19"/>
        <w:rPr>
          <w:rFonts w:asciiTheme="minorHAnsi" w:hAnsiTheme="minorHAnsi" w:eastAsiaTheme="minorEastAsia" w:cstheme="minorBidi"/>
          <w:sz w:val="22"/>
          <w:szCs w:val="22"/>
        </w:rPr>
      </w:pPr>
      <w:r>
        <w:rPr>
          <w:rFonts w:eastAsia="宋体"/>
        </w:rPr>
        <w:t>12.1.1.1.2.1</w:t>
      </w:r>
      <w:r>
        <w:rPr>
          <w:rFonts w:asciiTheme="minorHAnsi" w:hAnsiTheme="minorHAnsi" w:eastAsiaTheme="minorEastAsia" w:cstheme="minorBidi"/>
          <w:sz w:val="22"/>
          <w:szCs w:val="22"/>
        </w:rPr>
        <w:tab/>
      </w:r>
      <w:r>
        <w:t>IAB MT Re-establishment delay requirement</w:t>
      </w:r>
      <w:r>
        <w:tab/>
      </w:r>
      <w:r>
        <w:fldChar w:fldCharType="begin" w:fldLock="1"/>
      </w:r>
      <w:r>
        <w:instrText xml:space="preserve"> PAGEREF _Toc53185961 \h </w:instrText>
      </w:r>
      <w:r>
        <w:fldChar w:fldCharType="separate"/>
      </w:r>
      <w:r>
        <w:t>97</w:t>
      </w:r>
      <w:r>
        <w:fldChar w:fldCharType="end"/>
      </w:r>
    </w:p>
    <w:p>
      <w:pPr>
        <w:pStyle w:val="13"/>
        <w:rPr>
          <w:rFonts w:asciiTheme="minorHAnsi" w:hAnsiTheme="minorHAnsi" w:eastAsiaTheme="minorEastAsia" w:cstheme="minorBidi"/>
          <w:sz w:val="22"/>
          <w:szCs w:val="22"/>
        </w:rPr>
      </w:pPr>
      <w:r>
        <w:t>12.1.1.2 Random access</w:t>
      </w:r>
      <w:r>
        <w:tab/>
      </w:r>
      <w:r>
        <w:fldChar w:fldCharType="begin" w:fldLock="1"/>
      </w:r>
      <w:r>
        <w:instrText xml:space="preserve"> PAGEREF _Toc53185962 \h </w:instrText>
      </w:r>
      <w:r>
        <w:fldChar w:fldCharType="separate"/>
      </w:r>
      <w:r>
        <w:t>99</w:t>
      </w:r>
      <w:r>
        <w:fldChar w:fldCharType="end"/>
      </w:r>
    </w:p>
    <w:p>
      <w:pPr>
        <w:pStyle w:val="13"/>
        <w:rPr>
          <w:rFonts w:asciiTheme="minorHAnsi" w:hAnsiTheme="minorHAnsi" w:eastAsiaTheme="minorEastAsia" w:cstheme="minorBidi"/>
          <w:sz w:val="22"/>
          <w:szCs w:val="22"/>
        </w:rPr>
      </w:pPr>
      <w:r>
        <w:t>12.1.1.3 SA: RRC Connection Release with Redirection</w:t>
      </w:r>
      <w:r>
        <w:tab/>
      </w:r>
      <w:r>
        <w:fldChar w:fldCharType="begin" w:fldLock="1"/>
      </w:r>
      <w:r>
        <w:instrText xml:space="preserve"> PAGEREF _Toc53185963 \h </w:instrText>
      </w:r>
      <w:r>
        <w:fldChar w:fldCharType="separate"/>
      </w:r>
      <w:r>
        <w:t>99</w:t>
      </w:r>
      <w:r>
        <w:fldChar w:fldCharType="end"/>
      </w:r>
    </w:p>
    <w:p>
      <w:pPr>
        <w:pStyle w:val="12"/>
        <w:rPr>
          <w:rFonts w:asciiTheme="minorHAnsi" w:hAnsiTheme="minorHAnsi" w:eastAsiaTheme="minorEastAsia" w:cstheme="minorBidi"/>
          <w:sz w:val="22"/>
          <w:szCs w:val="22"/>
        </w:rPr>
      </w:pPr>
      <w:r>
        <w:t>12.1.1.3.2 Requirements</w:t>
      </w:r>
      <w:r>
        <w:tab/>
      </w:r>
      <w:r>
        <w:fldChar w:fldCharType="begin" w:fldLock="1"/>
      </w:r>
      <w:r>
        <w:instrText xml:space="preserve"> PAGEREF _Toc53185965 \h </w:instrText>
      </w:r>
      <w:r>
        <w:fldChar w:fldCharType="separate"/>
      </w:r>
      <w:r>
        <w:t>99</w:t>
      </w:r>
      <w:r>
        <w:fldChar w:fldCharType="end"/>
      </w:r>
    </w:p>
    <w:p>
      <w:pPr>
        <w:pStyle w:val="19"/>
        <w:rPr>
          <w:rFonts w:asciiTheme="minorHAnsi" w:hAnsiTheme="minorHAnsi" w:eastAsiaTheme="minorEastAsia" w:cstheme="minorBidi"/>
          <w:sz w:val="22"/>
          <w:szCs w:val="22"/>
        </w:rPr>
      </w:pPr>
      <w:r>
        <w:t>12.1.1.3.2.1 RRC connection release with redirection to NR</w:t>
      </w:r>
      <w:r>
        <w:tab/>
      </w:r>
      <w:r>
        <w:fldChar w:fldCharType="begin" w:fldLock="1"/>
      </w:r>
      <w:r>
        <w:instrText xml:space="preserve"> PAGEREF _Toc53185966 \h </w:instrText>
      </w:r>
      <w:r>
        <w:fldChar w:fldCharType="separate"/>
      </w:r>
      <w:r>
        <w:t>99</w:t>
      </w:r>
      <w:r>
        <w:fldChar w:fldCharType="end"/>
      </w:r>
    </w:p>
    <w:p>
      <w:pPr>
        <w:pStyle w:val="15"/>
        <w:tabs>
          <w:tab w:val="right" w:leader="dot" w:pos="9639"/>
        </w:tabs>
        <w:ind w:left="0" w:leftChars="0" w:firstLine="0" w:firstLineChars="0"/>
        <w:rPr>
          <w:rFonts w:asciiTheme="minorHAnsi" w:hAnsiTheme="minorHAnsi" w:eastAsiaTheme="minorEastAsia" w:cstheme="minorBidi"/>
          <w:sz w:val="22"/>
          <w:szCs w:val="22"/>
        </w:rPr>
      </w:pPr>
      <w:r>
        <w:t>12.2 Timing</w:t>
      </w:r>
      <w:r>
        <w:tab/>
      </w:r>
      <w:r>
        <w:fldChar w:fldCharType="begin" w:fldLock="1"/>
      </w:r>
      <w:r>
        <w:instrText xml:space="preserve"> PAGEREF _Toc53185967 \h </w:instrText>
      </w:r>
      <w:r>
        <w:fldChar w:fldCharType="separate"/>
      </w:r>
      <w:r>
        <w:t>100</w:t>
      </w:r>
      <w:r>
        <w:fldChar w:fldCharType="end"/>
      </w:r>
    </w:p>
    <w:p>
      <w:pPr>
        <w:pStyle w:val="14"/>
        <w:rPr>
          <w:rFonts w:asciiTheme="minorHAnsi" w:hAnsiTheme="minorHAnsi" w:eastAsiaTheme="minorEastAsia" w:cstheme="minorBidi"/>
          <w:sz w:val="22"/>
          <w:szCs w:val="22"/>
        </w:rPr>
      </w:pPr>
      <w:r>
        <w:t>12.2.1 IAB-MT transmit timing</w:t>
      </w:r>
      <w:r>
        <w:tab/>
      </w:r>
      <w:r>
        <w:fldChar w:fldCharType="begin" w:fldLock="1"/>
      </w:r>
      <w:r>
        <w:instrText xml:space="preserve"> PAGEREF _Toc53185968 \h </w:instrText>
      </w:r>
      <w:r>
        <w:fldChar w:fldCharType="separate"/>
      </w:r>
      <w:r>
        <w:t>100</w:t>
      </w:r>
      <w:r>
        <w:fldChar w:fldCharType="end"/>
      </w:r>
    </w:p>
    <w:p>
      <w:pPr>
        <w:pStyle w:val="13"/>
        <w:rPr>
          <w:rFonts w:asciiTheme="minorHAnsi" w:hAnsiTheme="minorHAnsi" w:eastAsiaTheme="minorEastAsia" w:cstheme="minorBidi"/>
          <w:sz w:val="22"/>
          <w:szCs w:val="22"/>
        </w:rPr>
      </w:pPr>
      <w:r>
        <w:rPr>
          <w:rFonts w:eastAsia="宋体"/>
        </w:rPr>
        <w:t>12.2.1.2</w:t>
      </w:r>
      <w:r>
        <w:rPr>
          <w:rFonts w:asciiTheme="minorHAnsi" w:hAnsiTheme="minorHAnsi" w:eastAsiaTheme="minorEastAsia" w:cstheme="minorBidi"/>
          <w:sz w:val="22"/>
          <w:szCs w:val="22"/>
        </w:rPr>
        <w:tab/>
      </w:r>
      <w:r>
        <w:rPr>
          <w:rFonts w:eastAsia="宋体"/>
        </w:rPr>
        <w:t>Requirements</w:t>
      </w:r>
      <w:r>
        <w:tab/>
      </w:r>
      <w:r>
        <w:fldChar w:fldCharType="begin" w:fldLock="1"/>
      </w:r>
      <w:r>
        <w:instrText xml:space="preserve"> PAGEREF _Toc53185970 \h </w:instrText>
      </w:r>
      <w:r>
        <w:fldChar w:fldCharType="separate"/>
      </w:r>
      <w:r>
        <w:t>100</w:t>
      </w:r>
      <w:r>
        <w:fldChar w:fldCharType="end"/>
      </w:r>
    </w:p>
    <w:p>
      <w:pPr>
        <w:pStyle w:val="12"/>
        <w:rPr>
          <w:rFonts w:asciiTheme="minorHAnsi" w:hAnsiTheme="minorHAnsi" w:eastAsiaTheme="minorEastAsia" w:cstheme="minorBidi"/>
          <w:sz w:val="22"/>
          <w:szCs w:val="22"/>
        </w:rPr>
      </w:pPr>
      <w:r>
        <w:rPr>
          <w:rFonts w:eastAsia="宋体"/>
          <w:lang w:eastAsia="zh-CN"/>
        </w:rPr>
        <w:t>12.2.1.2.1</w:t>
      </w:r>
      <w:r>
        <w:rPr>
          <w:rFonts w:asciiTheme="minorHAnsi" w:hAnsiTheme="minorHAnsi" w:eastAsiaTheme="minorEastAsia" w:cstheme="minorBidi"/>
          <w:sz w:val="22"/>
          <w:szCs w:val="22"/>
        </w:rPr>
        <w:tab/>
      </w:r>
      <w:r>
        <w:rPr>
          <w:rFonts w:eastAsia="宋体"/>
          <w:lang w:eastAsia="zh-CN"/>
        </w:rPr>
        <w:t>Gradual timing adjustment</w:t>
      </w:r>
      <w:r>
        <w:tab/>
      </w:r>
      <w:r>
        <w:fldChar w:fldCharType="begin" w:fldLock="1"/>
      </w:r>
      <w:r>
        <w:instrText xml:space="preserve"> PAGEREF _Toc53185971 \h </w:instrText>
      </w:r>
      <w:r>
        <w:fldChar w:fldCharType="separate"/>
      </w:r>
      <w:r>
        <w:t>101</w:t>
      </w:r>
      <w:r>
        <w:fldChar w:fldCharType="end"/>
      </w:r>
    </w:p>
    <w:p>
      <w:pPr>
        <w:pStyle w:val="14"/>
        <w:rPr>
          <w:rFonts w:asciiTheme="minorHAnsi" w:hAnsiTheme="minorHAnsi" w:eastAsiaTheme="minorEastAsia" w:cstheme="minorBidi"/>
          <w:sz w:val="22"/>
          <w:szCs w:val="22"/>
        </w:rPr>
      </w:pPr>
      <w:r>
        <w:t>12.2.3 IAB-MT timing advance</w:t>
      </w:r>
      <w:r>
        <w:tab/>
      </w:r>
      <w:r>
        <w:fldChar w:fldCharType="begin" w:fldLock="1"/>
      </w:r>
      <w:r>
        <w:instrText xml:space="preserve"> PAGEREF _Toc53185972 \h </w:instrText>
      </w:r>
      <w:r>
        <w:fldChar w:fldCharType="separate"/>
      </w:r>
      <w:r>
        <w:t>102</w:t>
      </w:r>
      <w:r>
        <w:fldChar w:fldCharType="end"/>
      </w:r>
    </w:p>
    <w:p>
      <w:pPr>
        <w:pStyle w:val="14"/>
        <w:rPr>
          <w:rFonts w:asciiTheme="minorHAnsi" w:hAnsiTheme="minorHAnsi" w:eastAsiaTheme="minorEastAsia" w:cstheme="minorBidi"/>
          <w:sz w:val="22"/>
          <w:szCs w:val="22"/>
        </w:rPr>
      </w:pPr>
      <w:r>
        <w:t>12.2.4 Cell phase synchronization accuracy</w:t>
      </w:r>
      <w:r>
        <w:tab/>
      </w:r>
      <w:r>
        <w:fldChar w:fldCharType="begin" w:fldLock="1"/>
      </w:r>
      <w:r>
        <w:instrText xml:space="preserve"> PAGEREF _Toc53185973 \h </w:instrText>
      </w:r>
      <w:r>
        <w:fldChar w:fldCharType="separate"/>
      </w:r>
      <w:r>
        <w:t>102</w:t>
      </w:r>
      <w:r>
        <w:fldChar w:fldCharType="end"/>
      </w:r>
    </w:p>
    <w:p>
      <w:pPr>
        <w:pStyle w:val="15"/>
        <w:tabs>
          <w:tab w:val="right" w:leader="dot" w:pos="9639"/>
        </w:tabs>
        <w:ind w:left="0" w:leftChars="0" w:firstLine="0" w:firstLineChars="0"/>
        <w:rPr>
          <w:rFonts w:asciiTheme="minorHAnsi" w:hAnsiTheme="minorHAnsi" w:eastAsiaTheme="minorEastAsia" w:cstheme="minorBidi"/>
          <w:sz w:val="22"/>
          <w:szCs w:val="22"/>
        </w:rPr>
      </w:pPr>
      <w:r>
        <w:t>12.3 Signalling Characteristics for IAB MTs</w:t>
      </w:r>
      <w:r>
        <w:tab/>
      </w:r>
      <w:r>
        <w:fldChar w:fldCharType="begin" w:fldLock="1"/>
      </w:r>
      <w:r>
        <w:instrText xml:space="preserve"> PAGEREF _Toc53185976 \h </w:instrText>
      </w:r>
      <w:r>
        <w:fldChar w:fldCharType="separate"/>
      </w:r>
      <w:r>
        <w:t>102</w:t>
      </w:r>
      <w:r>
        <w:fldChar w:fldCharType="end"/>
      </w:r>
    </w:p>
    <w:p>
      <w:pPr>
        <w:pStyle w:val="14"/>
        <w:rPr>
          <w:rFonts w:asciiTheme="minorHAnsi" w:hAnsiTheme="minorHAnsi" w:eastAsiaTheme="minorEastAsia" w:cstheme="minorBidi"/>
          <w:sz w:val="22"/>
          <w:szCs w:val="22"/>
        </w:rPr>
      </w:pPr>
      <w:r>
        <w:t>12.3.1 Radio Link Monitoring</w:t>
      </w:r>
      <w:r>
        <w:tab/>
      </w:r>
      <w:r>
        <w:fldChar w:fldCharType="begin" w:fldLock="1"/>
      </w:r>
      <w:r>
        <w:instrText xml:space="preserve"> PAGEREF _Toc53185977 \h </w:instrText>
      </w:r>
      <w:r>
        <w:fldChar w:fldCharType="separate"/>
      </w:r>
      <w:r>
        <w:t>102</w:t>
      </w:r>
      <w:r>
        <w:fldChar w:fldCharType="end"/>
      </w:r>
    </w:p>
    <w:p>
      <w:pPr>
        <w:pStyle w:val="13"/>
        <w:rPr>
          <w:rFonts w:asciiTheme="minorHAnsi" w:hAnsiTheme="minorHAnsi" w:eastAsiaTheme="minorEastAsia" w:cstheme="minorBidi"/>
          <w:sz w:val="22"/>
          <w:szCs w:val="22"/>
        </w:rPr>
      </w:pPr>
      <w:r>
        <w:t>12.3.1.2 Requirements for SSB based radio link monitoring</w:t>
      </w:r>
      <w:r>
        <w:tab/>
      </w:r>
      <w:r>
        <w:fldChar w:fldCharType="begin" w:fldLock="1"/>
      </w:r>
      <w:r>
        <w:instrText xml:space="preserve"> PAGEREF _Toc53185979 \h </w:instrText>
      </w:r>
      <w:r>
        <w:fldChar w:fldCharType="separate"/>
      </w:r>
      <w:r>
        <w:t>102</w:t>
      </w:r>
      <w:r>
        <w:fldChar w:fldCharType="end"/>
      </w:r>
    </w:p>
    <w:p>
      <w:pPr>
        <w:pStyle w:val="13"/>
        <w:rPr>
          <w:rFonts w:asciiTheme="minorHAnsi" w:hAnsiTheme="minorHAnsi" w:eastAsiaTheme="minorEastAsia" w:cstheme="minorBidi"/>
          <w:sz w:val="22"/>
          <w:szCs w:val="22"/>
        </w:rPr>
      </w:pPr>
      <w:r>
        <w:t>12.3.1.3 Requirements for CSI-RS based radio link monitoring</w:t>
      </w:r>
      <w:r>
        <w:tab/>
      </w:r>
      <w:r>
        <w:fldChar w:fldCharType="begin" w:fldLock="1"/>
      </w:r>
      <w:r>
        <w:instrText xml:space="preserve"> PAGEREF _Toc53185983 \h </w:instrText>
      </w:r>
      <w:r>
        <w:fldChar w:fldCharType="separate"/>
      </w:r>
      <w:r>
        <w:t>105</w:t>
      </w:r>
      <w:r>
        <w:fldChar w:fldCharType="end"/>
      </w:r>
    </w:p>
    <w:p>
      <w:pPr>
        <w:pStyle w:val="13"/>
        <w:rPr>
          <w:rFonts w:asciiTheme="minorHAnsi" w:hAnsiTheme="minorHAnsi" w:eastAsiaTheme="minorEastAsia" w:cstheme="minorBidi"/>
          <w:sz w:val="22"/>
          <w:szCs w:val="22"/>
        </w:rPr>
      </w:pPr>
      <w:r>
        <w:t>12.3.1.4</w:t>
      </w:r>
      <w:r>
        <w:rPr>
          <w:rFonts w:asciiTheme="minorHAnsi" w:hAnsiTheme="minorHAnsi" w:eastAsiaTheme="minorEastAsia" w:cstheme="minorBidi"/>
          <w:sz w:val="22"/>
          <w:szCs w:val="22"/>
        </w:rPr>
        <w:tab/>
      </w:r>
      <w:r>
        <w:t>Minimum requirement for IAB-MT turning off the transmitter</w:t>
      </w:r>
      <w:r>
        <w:tab/>
      </w:r>
      <w:r>
        <w:fldChar w:fldCharType="begin" w:fldLock="1"/>
      </w:r>
      <w:r>
        <w:instrText xml:space="preserve"> PAGEREF _Toc53185987 \h </w:instrText>
      </w:r>
      <w:r>
        <w:fldChar w:fldCharType="separate"/>
      </w:r>
      <w:r>
        <w:t>107</w:t>
      </w:r>
      <w:r>
        <w:fldChar w:fldCharType="end"/>
      </w:r>
    </w:p>
    <w:p>
      <w:pPr>
        <w:pStyle w:val="13"/>
        <w:rPr>
          <w:rFonts w:asciiTheme="minorHAnsi" w:hAnsiTheme="minorHAnsi" w:eastAsiaTheme="minorEastAsia" w:cstheme="minorBidi"/>
          <w:sz w:val="22"/>
          <w:szCs w:val="22"/>
        </w:rPr>
      </w:pPr>
      <w:r>
        <w:t>12.3.1.5</w:t>
      </w:r>
      <w:r>
        <w:rPr>
          <w:rFonts w:asciiTheme="minorHAnsi" w:hAnsiTheme="minorHAnsi" w:eastAsiaTheme="minorEastAsia" w:cstheme="minorBidi"/>
          <w:sz w:val="22"/>
          <w:szCs w:val="22"/>
        </w:rPr>
        <w:tab/>
      </w:r>
      <w:r>
        <w:t>Minimum requirement for L1 indication</w:t>
      </w:r>
      <w:r>
        <w:tab/>
      </w:r>
      <w:r>
        <w:fldChar w:fldCharType="begin" w:fldLock="1"/>
      </w:r>
      <w:r>
        <w:instrText xml:space="preserve"> PAGEREF _Toc53185988 \h </w:instrText>
      </w:r>
      <w:r>
        <w:fldChar w:fldCharType="separate"/>
      </w:r>
      <w:r>
        <w:t>107</w:t>
      </w:r>
      <w:r>
        <w:fldChar w:fldCharType="end"/>
      </w:r>
    </w:p>
    <w:p>
      <w:pPr>
        <w:pStyle w:val="13"/>
        <w:rPr>
          <w:rFonts w:asciiTheme="minorHAnsi" w:hAnsiTheme="minorHAnsi" w:eastAsiaTheme="minorEastAsia" w:cstheme="minorBidi"/>
          <w:sz w:val="22"/>
          <w:szCs w:val="22"/>
        </w:rPr>
      </w:pPr>
      <w:r>
        <w:t>12.3.1.6 Scheduling availability of IAB-MT during radio link monitoring</w:t>
      </w:r>
      <w:r>
        <w:tab/>
      </w:r>
      <w:r>
        <w:fldChar w:fldCharType="begin" w:fldLock="1"/>
      </w:r>
      <w:r>
        <w:instrText xml:space="preserve"> PAGEREF _Toc53185989 \h </w:instrText>
      </w:r>
      <w:r>
        <w:fldChar w:fldCharType="separate"/>
      </w:r>
      <w:r>
        <w:t>108</w:t>
      </w:r>
      <w:r>
        <w:fldChar w:fldCharType="end"/>
      </w:r>
    </w:p>
    <w:p>
      <w:pPr>
        <w:pStyle w:val="14"/>
        <w:rPr>
          <w:rFonts w:asciiTheme="minorHAnsi" w:hAnsiTheme="minorHAnsi" w:eastAsiaTheme="minorEastAsia" w:cstheme="minorBidi"/>
          <w:sz w:val="22"/>
          <w:szCs w:val="22"/>
        </w:rPr>
      </w:pPr>
      <w:r>
        <w:t>12.3.2 Link Recovery Procedure</w:t>
      </w:r>
      <w:r>
        <w:tab/>
      </w:r>
      <w:r>
        <w:fldChar w:fldCharType="begin" w:fldLock="1"/>
      </w:r>
      <w:r>
        <w:instrText xml:space="preserve"> PAGEREF _Toc53185990 \h </w:instrText>
      </w:r>
      <w:r>
        <w:fldChar w:fldCharType="separate"/>
      </w:r>
      <w:r>
        <w:t>108</w:t>
      </w:r>
      <w:r>
        <w:fldChar w:fldCharType="end"/>
      </w:r>
    </w:p>
    <w:p>
      <w:pPr>
        <w:pStyle w:val="13"/>
        <w:rPr>
          <w:rFonts w:asciiTheme="minorHAnsi" w:hAnsiTheme="minorHAnsi" w:eastAsiaTheme="minorEastAsia" w:cstheme="minorBidi"/>
          <w:sz w:val="22"/>
          <w:szCs w:val="22"/>
        </w:rPr>
      </w:pPr>
      <w:r>
        <w:t>12.3.2.2 Requirements for SSB based beam failure detection</w:t>
      </w:r>
      <w:r>
        <w:tab/>
      </w:r>
      <w:r>
        <w:fldChar w:fldCharType="begin" w:fldLock="1"/>
      </w:r>
      <w:r>
        <w:instrText xml:space="preserve"> PAGEREF _Toc53185992 \h </w:instrText>
      </w:r>
      <w:r>
        <w:fldChar w:fldCharType="separate"/>
      </w:r>
      <w:r>
        <w:t>108</w:t>
      </w:r>
      <w:r>
        <w:fldChar w:fldCharType="end"/>
      </w:r>
    </w:p>
    <w:p>
      <w:pPr>
        <w:pStyle w:val="13"/>
        <w:rPr>
          <w:rFonts w:asciiTheme="minorHAnsi" w:hAnsiTheme="minorHAnsi" w:eastAsiaTheme="minorEastAsia" w:cstheme="minorBidi"/>
          <w:sz w:val="22"/>
          <w:szCs w:val="22"/>
        </w:rPr>
      </w:pPr>
      <w:r>
        <w:t>12.3.2.3 Requirements for CSI-RS based beam failure detection</w:t>
      </w:r>
      <w:r>
        <w:tab/>
      </w:r>
      <w:r>
        <w:fldChar w:fldCharType="begin" w:fldLock="1"/>
      </w:r>
      <w:r>
        <w:instrText xml:space="preserve"> PAGEREF _Toc53185996 \h </w:instrText>
      </w:r>
      <w:r>
        <w:fldChar w:fldCharType="separate"/>
      </w:r>
      <w:r>
        <w:t>109</w:t>
      </w:r>
      <w:r>
        <w:fldChar w:fldCharType="end"/>
      </w:r>
    </w:p>
    <w:p>
      <w:pPr>
        <w:pStyle w:val="13"/>
        <w:rPr>
          <w:rFonts w:asciiTheme="minorHAnsi" w:hAnsiTheme="minorHAnsi" w:eastAsiaTheme="minorEastAsia" w:cstheme="minorBidi"/>
          <w:sz w:val="22"/>
          <w:szCs w:val="22"/>
        </w:rPr>
      </w:pPr>
      <w:r>
        <w:t>12.3.2.4 Minimum requirement for L1 indication</w:t>
      </w:r>
      <w:r>
        <w:tab/>
      </w:r>
      <w:r>
        <w:fldChar w:fldCharType="begin" w:fldLock="1"/>
      </w:r>
      <w:r>
        <w:instrText xml:space="preserve"> PAGEREF _Toc53186000 \h </w:instrText>
      </w:r>
      <w:r>
        <w:fldChar w:fldCharType="separate"/>
      </w:r>
      <w:r>
        <w:t>111</w:t>
      </w:r>
      <w:r>
        <w:fldChar w:fldCharType="end"/>
      </w:r>
    </w:p>
    <w:p>
      <w:pPr>
        <w:pStyle w:val="13"/>
        <w:rPr>
          <w:rFonts w:asciiTheme="minorHAnsi" w:hAnsiTheme="minorHAnsi" w:eastAsiaTheme="minorEastAsia" w:cstheme="minorBidi"/>
          <w:sz w:val="22"/>
          <w:szCs w:val="22"/>
        </w:rPr>
      </w:pPr>
      <w:r>
        <w:t>12.3.2.5 Requirements for SSB based candidate beam detection</w:t>
      </w:r>
      <w:r>
        <w:tab/>
      </w:r>
      <w:r>
        <w:fldChar w:fldCharType="begin" w:fldLock="1"/>
      </w:r>
      <w:r>
        <w:instrText xml:space="preserve"> PAGEREF _Toc53186001 \h </w:instrText>
      </w:r>
      <w:r>
        <w:fldChar w:fldCharType="separate"/>
      </w:r>
      <w:r>
        <w:t>111</w:t>
      </w:r>
      <w:r>
        <w:fldChar w:fldCharType="end"/>
      </w:r>
    </w:p>
    <w:p>
      <w:pPr>
        <w:pStyle w:val="13"/>
        <w:rPr>
          <w:rFonts w:asciiTheme="minorHAnsi" w:hAnsiTheme="minorHAnsi" w:eastAsiaTheme="minorEastAsia" w:cstheme="minorBidi"/>
          <w:sz w:val="22"/>
          <w:szCs w:val="22"/>
        </w:rPr>
      </w:pPr>
      <w:r>
        <w:t>12.3.2.6 Requirements for CSI-RS based candidate beam detection</w:t>
      </w:r>
      <w:r>
        <w:tab/>
      </w:r>
      <w:r>
        <w:fldChar w:fldCharType="begin" w:fldLock="1"/>
      </w:r>
      <w:r>
        <w:instrText xml:space="preserve"> PAGEREF _Toc53186005 \h </w:instrText>
      </w:r>
      <w:r>
        <w:fldChar w:fldCharType="separate"/>
      </w:r>
      <w:r>
        <w:t>113</w:t>
      </w:r>
      <w:r>
        <w:fldChar w:fldCharType="end"/>
      </w:r>
    </w:p>
    <w:p>
      <w:pPr>
        <w:rPr>
          <w:rFonts w:hint="default"/>
          <w:sz w:val="22"/>
          <w:szCs w:val="22"/>
          <w:lang w:val="en-US" w:eastAsia="zh-CN"/>
        </w:rPr>
      </w:pPr>
    </w:p>
    <w:p>
      <w:pPr>
        <w:rPr>
          <w:rFonts w:hint="default"/>
          <w:sz w:val="22"/>
          <w:szCs w:val="22"/>
          <w:lang w:val="en-US" w:eastAsia="zh-CN"/>
        </w:rPr>
      </w:pPr>
      <w:r>
        <w:rPr>
          <w:rFonts w:hint="eastAsia"/>
          <w:sz w:val="22"/>
          <w:szCs w:val="22"/>
          <w:lang w:val="en-US" w:eastAsia="zh-CN"/>
        </w:rPr>
        <w:t>After reviewing the core requirements, it occurs to us that some test cases can directly refer to the existing test cases for UEs if the core requirements are the same for both UEs and IAB-MTs. For instance, in several places in TS 38.174, the core requirements are simply a reference to the requirements for the UE in TS 38.133.</w:t>
      </w:r>
    </w:p>
    <w:p>
      <w:pPr>
        <w:pStyle w:val="6"/>
        <w:rPr>
          <w:rFonts w:eastAsia="?? ??"/>
          <w:sz w:val="22"/>
          <w:szCs w:val="22"/>
          <w:highlight w:val="yellow"/>
        </w:rPr>
      </w:pPr>
      <w:bookmarkStart w:id="5" w:name="_Toc53186004"/>
      <w:bookmarkStart w:id="6" w:name="_Toc53185628"/>
      <w:r>
        <w:rPr>
          <w:rFonts w:eastAsia="?? ??"/>
          <w:sz w:val="22"/>
          <w:szCs w:val="22"/>
          <w:highlight w:val="yellow"/>
        </w:rPr>
        <w:t>12.3.2.5.3 Measurement restriction for SSB based candidate beam detection</w:t>
      </w:r>
      <w:bookmarkEnd w:id="5"/>
      <w:bookmarkEnd w:id="6"/>
    </w:p>
    <w:p>
      <w:pPr>
        <w:rPr>
          <w:rFonts w:hint="eastAsia"/>
          <w:sz w:val="22"/>
          <w:szCs w:val="22"/>
          <w:lang w:val="en-US" w:eastAsia="zh-CN"/>
        </w:rPr>
      </w:pPr>
      <w:r>
        <w:rPr>
          <w:sz w:val="22"/>
          <w:szCs w:val="22"/>
          <w:highlight w:val="yellow"/>
        </w:rPr>
        <w:t>The UE requirements in sub-clause 8.5.5.3 [6] apply for IAB-MT.</w:t>
      </w:r>
    </w:p>
    <w:p>
      <w:pPr>
        <w:rPr>
          <w:rFonts w:hint="default"/>
          <w:sz w:val="22"/>
          <w:szCs w:val="22"/>
          <w:lang w:val="en-US" w:eastAsia="zh-CN"/>
        </w:rPr>
      </w:pPr>
      <w:r>
        <w:rPr>
          <w:rFonts w:hint="eastAsia"/>
          <w:sz w:val="22"/>
          <w:szCs w:val="22"/>
          <w:lang w:val="en-US" w:eastAsia="zh-CN"/>
        </w:rPr>
        <w:t>In this case, the corresponding test case can take UE test cases as a base line with different configurations for IAB-MTs.</w:t>
      </w:r>
    </w:p>
    <w:p>
      <w:pPr>
        <w:pStyle w:val="41"/>
        <w:rPr>
          <w:rFonts w:hint="default"/>
          <w:b/>
          <w:bCs w:val="0"/>
          <w:lang w:val="en-US" w:eastAsia="zh-CN"/>
        </w:rPr>
      </w:pPr>
      <w:r>
        <w:rPr>
          <w:rFonts w:hint="eastAsia" w:eastAsia="宋体"/>
          <w:sz w:val="22"/>
          <w:szCs w:val="22"/>
          <w:lang w:val="en-US" w:eastAsia="zh-CN"/>
        </w:rPr>
        <w:t xml:space="preserve">If core requirements are directly referenced from 38.133, corresponding test cases </w:t>
      </w:r>
      <w:r>
        <w:rPr>
          <w:rFonts w:hint="eastAsia"/>
          <w:sz w:val="22"/>
          <w:szCs w:val="22"/>
          <w:lang w:val="en-US" w:eastAsia="zh-CN"/>
        </w:rPr>
        <w:t>can take UE test cases as a base line with different configurations for IAB-MTs</w:t>
      </w:r>
      <w:r>
        <w:rPr>
          <w:rFonts w:hint="eastAsia" w:eastAsia="宋体"/>
          <w:sz w:val="22"/>
          <w:szCs w:val="22"/>
          <w:lang w:val="en-US" w:eastAsia="zh-CN"/>
        </w:rPr>
        <w:t xml:space="preserve">. </w:t>
      </w:r>
    </w:p>
    <w:p>
      <w:pPr>
        <w:rPr>
          <w:rFonts w:hint="eastAsia"/>
          <w:b w:val="0"/>
          <w:bCs/>
          <w:sz w:val="22"/>
          <w:szCs w:val="22"/>
          <w:lang w:val="en-US" w:eastAsia="zh-CN"/>
        </w:rPr>
      </w:pPr>
      <w:r>
        <w:rPr>
          <w:rFonts w:hint="eastAsia"/>
          <w:b w:val="0"/>
          <w:bCs/>
          <w:sz w:val="22"/>
          <w:szCs w:val="22"/>
          <w:lang w:val="en-US" w:eastAsia="zh-CN"/>
        </w:rPr>
        <w:t>Another issue is the frequency range of test cases for IAB-MTs. There is no restriction on the applicable FR for IAB nodes and the working frequency depends largely on the demand of network carriers in different regions. To cover all scenarios, we propose to specify all test cases in both FR1 and FR2 if applicable.</w:t>
      </w:r>
    </w:p>
    <w:p>
      <w:pPr>
        <w:pStyle w:val="41"/>
        <w:rPr>
          <w:rFonts w:hint="default"/>
          <w:b w:val="0"/>
          <w:bCs/>
          <w:sz w:val="22"/>
          <w:szCs w:val="22"/>
          <w:lang w:val="en-US" w:eastAsia="zh-CN"/>
        </w:rPr>
      </w:pPr>
      <w:r>
        <w:rPr>
          <w:rFonts w:hint="eastAsia"/>
          <w:b/>
          <w:bCs w:val="0"/>
          <w:sz w:val="22"/>
          <w:szCs w:val="22"/>
          <w:lang w:val="en-US" w:eastAsia="zh-CN"/>
        </w:rPr>
        <w:t>To cover all scenarios, specify all test cases in both FR1 and FR2 if applicable</w:t>
      </w:r>
      <w:r>
        <w:rPr>
          <w:rFonts w:hint="default"/>
          <w:b/>
          <w:bCs w:val="0"/>
          <w:sz w:val="22"/>
          <w:szCs w:val="22"/>
          <w:lang w:val="en-US" w:eastAsia="zh-CN"/>
        </w:rPr>
        <w:t>.</w:t>
      </w:r>
    </w:p>
    <w:p>
      <w:pPr>
        <w:rPr>
          <w:rFonts w:hint="default"/>
          <w:b w:val="0"/>
          <w:bCs/>
          <w:sz w:val="22"/>
          <w:szCs w:val="22"/>
          <w:lang w:val="en-US" w:eastAsia="zh-CN"/>
        </w:rPr>
      </w:pPr>
      <w:r>
        <w:rPr>
          <w:rFonts w:hint="eastAsia"/>
          <w:b w:val="0"/>
          <w:bCs/>
          <w:sz w:val="22"/>
          <w:szCs w:val="22"/>
          <w:lang w:val="en-US" w:eastAsia="zh-CN"/>
        </w:rPr>
        <w:t>As to where to put the test cases, now we have two options. One option is to create a new Annex in TS 38.174 [1] to contain the test cases, in a similar manner as TS 38.133 [2]. Another option is to have a dedicated specification for all test cases (RRM and RF and demod). This issue needs to be discussed in the RRM session.</w:t>
      </w:r>
    </w:p>
    <w:p>
      <w:pPr>
        <w:pStyle w:val="41"/>
        <w:rPr>
          <w:rFonts w:hint="default"/>
          <w:b/>
          <w:bCs w:val="0"/>
          <w:lang w:val="en-US" w:eastAsia="zh-CN"/>
        </w:rPr>
      </w:pPr>
      <w:r>
        <w:rPr>
          <w:rFonts w:hint="eastAsia"/>
          <w:b/>
          <w:bCs w:val="0"/>
          <w:sz w:val="22"/>
          <w:szCs w:val="22"/>
          <w:lang w:val="en-US" w:eastAsia="zh-CN"/>
        </w:rPr>
        <w:t>Discuss the following two options: 1) create a new Annex in TS 38.174 [1] to contain the test cases, 2) have a dedicated specification for all test cases (RRM and RF and demod)</w:t>
      </w:r>
      <w:r>
        <w:rPr>
          <w:rFonts w:hint="default"/>
          <w:b/>
          <w:bCs w:val="0"/>
          <w:sz w:val="22"/>
          <w:szCs w:val="22"/>
          <w:lang w:val="en-US" w:eastAsia="zh-CN"/>
        </w:rPr>
        <w:t>.</w:t>
      </w:r>
    </w:p>
    <w:p>
      <w:pPr>
        <w:rPr>
          <w:rFonts w:hint="default" w:eastAsia="宋体"/>
          <w:sz w:val="22"/>
          <w:szCs w:val="22"/>
          <w:lang w:val="en-US" w:eastAsia="zh-CN"/>
        </w:rPr>
      </w:pPr>
      <w:r>
        <w:rPr>
          <w:rFonts w:hint="eastAsia" w:eastAsia="宋体"/>
          <w:sz w:val="22"/>
          <w:szCs w:val="22"/>
          <w:lang w:val="en-US" w:eastAsia="zh-CN"/>
        </w:rPr>
        <w:t>From RAN4 96-e, the RAN4 leadership has promoted ways to improve efficiency, one of which is to handle CR by big CR approach. This means for IAB RRM performance part (test cases), only a limited number of such big CRs are allowed. After going through the test cases, we think that the test cases can be grouped into the following 4 draft CRs listed below.</w:t>
      </w:r>
    </w:p>
    <w:tbl>
      <w:tblPr>
        <w:tblStyle w:val="23"/>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6"/>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sz w:val="22"/>
                <w:szCs w:val="22"/>
                <w:vertAlign w:val="baseline"/>
                <w:lang w:val="en-US" w:eastAsia="zh-CN"/>
              </w:rPr>
            </w:pPr>
            <w:r>
              <w:rPr>
                <w:rFonts w:hint="eastAsia" w:eastAsia="宋体"/>
                <w:sz w:val="22"/>
                <w:szCs w:val="22"/>
                <w:lang w:val="en-US" w:eastAsia="zh-CN"/>
              </w:rPr>
              <w:t>Draft CRs / Big CRs</w:t>
            </w:r>
          </w:p>
        </w:tc>
        <w:tc>
          <w:tcPr>
            <w:tcW w:w="3217" w:type="dxa"/>
          </w:tcPr>
          <w:p>
            <w:pPr>
              <w:rPr>
                <w:rFonts w:hint="default" w:eastAsia="宋体"/>
                <w:sz w:val="22"/>
                <w:szCs w:val="22"/>
                <w:vertAlign w:val="baseline"/>
                <w:lang w:val="en-US" w:eastAsia="zh-CN"/>
              </w:rPr>
            </w:pPr>
            <w:r>
              <w:rPr>
                <w:rFonts w:hint="eastAsia" w:eastAsia="宋体"/>
                <w:sz w:val="22"/>
                <w:szCs w:val="22"/>
                <w:vertAlign w:val="baseline"/>
                <w:lang w:val="en-US" w:eastAsia="zh-CN"/>
              </w:rPr>
              <w:t>Source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sz w:val="22"/>
                <w:szCs w:val="22"/>
                <w:vertAlign w:val="baseline"/>
                <w:lang w:val="en-US" w:eastAsia="zh-CN"/>
              </w:rPr>
            </w:pPr>
            <w:r>
              <w:t>RRC_CONNECTED state mobility for IAB-MTs</w:t>
            </w:r>
          </w:p>
        </w:tc>
        <w:tc>
          <w:tcPr>
            <w:tcW w:w="3217" w:type="dxa"/>
          </w:tcPr>
          <w:p>
            <w:pPr>
              <w:rPr>
                <w:rFonts w:hint="default" w:eastAsia="宋体"/>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sz w:val="22"/>
                <w:szCs w:val="22"/>
                <w:vertAlign w:val="baseline"/>
                <w:lang w:val="en-US" w:eastAsia="zh-CN"/>
              </w:rPr>
            </w:pPr>
            <w:r>
              <w:rPr>
                <w:rFonts w:hint="eastAsia" w:eastAsia="宋体"/>
                <w:sz w:val="22"/>
                <w:szCs w:val="22"/>
                <w:vertAlign w:val="baseline"/>
                <w:lang w:val="en-US" w:eastAsia="zh-CN"/>
              </w:rPr>
              <w:t>Timing</w:t>
            </w:r>
          </w:p>
        </w:tc>
        <w:tc>
          <w:tcPr>
            <w:tcW w:w="3217" w:type="dxa"/>
          </w:tcPr>
          <w:p>
            <w:pPr>
              <w:rPr>
                <w:rFonts w:hint="default" w:eastAsia="宋体"/>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sz w:val="22"/>
                <w:szCs w:val="22"/>
                <w:lang w:val="en-US" w:eastAsia="zh-CN"/>
              </w:rPr>
            </w:pPr>
            <w:r>
              <w:rPr>
                <w:rFonts w:hint="eastAsia" w:eastAsia="宋体"/>
                <w:sz w:val="22"/>
                <w:szCs w:val="22"/>
                <w:lang w:val="en-US" w:eastAsia="zh-CN"/>
              </w:rPr>
              <w:t>RLM</w:t>
            </w:r>
          </w:p>
        </w:tc>
        <w:tc>
          <w:tcPr>
            <w:tcW w:w="3217" w:type="dxa"/>
          </w:tcPr>
          <w:p>
            <w:pPr>
              <w:rPr>
                <w:rFonts w:hint="default" w:eastAsia="宋体"/>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sz w:val="22"/>
                <w:szCs w:val="22"/>
                <w:lang w:val="en-US" w:eastAsia="zh-CN"/>
              </w:rPr>
            </w:pPr>
            <w:r>
              <w:rPr>
                <w:rFonts w:hint="eastAsia" w:eastAsia="宋体"/>
                <w:sz w:val="22"/>
                <w:szCs w:val="22"/>
                <w:lang w:val="en-US" w:eastAsia="zh-CN"/>
              </w:rPr>
              <w:t>Link recovery</w:t>
            </w:r>
          </w:p>
        </w:tc>
        <w:tc>
          <w:tcPr>
            <w:tcW w:w="3217" w:type="dxa"/>
          </w:tcPr>
          <w:p>
            <w:pPr>
              <w:rPr>
                <w:rFonts w:hint="eastAsia" w:eastAsia="宋体"/>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sz w:val="22"/>
                <w:szCs w:val="22"/>
                <w:lang w:val="en-US" w:eastAsia="zh-CN"/>
              </w:rPr>
            </w:pPr>
            <w:r>
              <w:rPr>
                <w:rFonts w:hint="eastAsia" w:eastAsia="宋体"/>
                <w:sz w:val="22"/>
                <w:szCs w:val="22"/>
                <w:lang w:val="en-US" w:eastAsia="zh-CN"/>
              </w:rPr>
              <w:t>Test configurations</w:t>
            </w:r>
          </w:p>
        </w:tc>
        <w:tc>
          <w:tcPr>
            <w:tcW w:w="3217" w:type="dxa"/>
          </w:tcPr>
          <w:p>
            <w:pPr>
              <w:rPr>
                <w:rFonts w:hint="eastAsia" w:eastAsia="宋体"/>
                <w:sz w:val="22"/>
                <w:szCs w:val="22"/>
                <w:vertAlign w:val="baseline"/>
                <w:lang w:val="en-US" w:eastAsia="zh-CN"/>
              </w:rPr>
            </w:pPr>
          </w:p>
        </w:tc>
      </w:tr>
    </w:tbl>
    <w:p>
      <w:pPr>
        <w:rPr>
          <w:rFonts w:hint="eastAsia" w:eastAsia="宋体"/>
          <w:sz w:val="22"/>
          <w:szCs w:val="22"/>
          <w:lang w:val="en-US" w:eastAsia="zh-CN"/>
        </w:rPr>
      </w:pPr>
      <w:r>
        <w:rPr>
          <w:rFonts w:hint="eastAsia" w:eastAsia="宋体"/>
          <w:sz w:val="22"/>
          <w:szCs w:val="22"/>
          <w:lang w:val="en-US" w:eastAsia="zh-CN"/>
        </w:rPr>
        <w:t>Companies are welcome to check and provide feedback on whether there are other requirements which need test cases, and are welcome to volunteer to take care of draft CRs for the above topics. This work split will be finalized after RAN4 agrees to define all the above test cases. If some of the test cases are agreed to be omitted from the spec, then there</w:t>
      </w:r>
      <w:r>
        <w:rPr>
          <w:rFonts w:hint="default" w:eastAsia="宋体"/>
          <w:sz w:val="22"/>
          <w:szCs w:val="22"/>
          <w:lang w:val="en-US" w:eastAsia="zh-CN"/>
        </w:rPr>
        <w:t>’</w:t>
      </w:r>
      <w:r>
        <w:rPr>
          <w:rFonts w:hint="eastAsia" w:eastAsia="宋体"/>
          <w:sz w:val="22"/>
          <w:szCs w:val="22"/>
          <w:lang w:val="en-US" w:eastAsia="zh-CN"/>
        </w:rPr>
        <w:t>s no need for the corresponding work.</w:t>
      </w:r>
    </w:p>
    <w:p>
      <w:pPr>
        <w:pStyle w:val="41"/>
        <w:rPr>
          <w:rFonts w:hint="default" w:eastAsia="宋体"/>
          <w:sz w:val="22"/>
          <w:szCs w:val="22"/>
          <w:lang w:val="en-US" w:eastAsia="zh-CN"/>
        </w:rPr>
      </w:pPr>
      <w:r>
        <w:rPr>
          <w:rFonts w:hint="eastAsia"/>
          <w:b/>
          <w:bCs w:val="0"/>
          <w:sz w:val="22"/>
          <w:szCs w:val="22"/>
          <w:lang w:val="en-US" w:eastAsia="zh-CN"/>
        </w:rPr>
        <w:t>Discuss and finalize the above work split</w:t>
      </w:r>
      <w:r>
        <w:rPr>
          <w:rFonts w:hint="default"/>
          <w:b/>
          <w:bCs w:val="0"/>
          <w:sz w:val="22"/>
          <w:szCs w:val="22"/>
          <w:lang w:val="en-US" w:eastAsia="zh-CN"/>
        </w:rPr>
        <w:t>.</w:t>
      </w:r>
      <w:r>
        <w:rPr>
          <w:rFonts w:hint="eastAsia"/>
          <w:b/>
          <w:bCs w:val="0"/>
          <w:sz w:val="22"/>
          <w:szCs w:val="22"/>
          <w:lang w:val="en-US" w:eastAsia="zh-CN"/>
        </w:rPr>
        <w:t xml:space="preserve"> Also discuss and finalize on the skeleton of the test cases in the specification.</w:t>
      </w:r>
    </w:p>
    <w:p>
      <w:pPr>
        <w:rPr>
          <w:rFonts w:hint="default"/>
          <w:b w:val="0"/>
          <w:bCs/>
          <w:sz w:val="22"/>
          <w:szCs w:val="22"/>
          <w:lang w:val="en-US" w:eastAsia="zh-CN"/>
        </w:rPr>
      </w:pPr>
      <w:r>
        <w:rPr>
          <w:rFonts w:hint="eastAsia"/>
          <w:b w:val="0"/>
          <w:bCs/>
          <w:sz w:val="22"/>
          <w:szCs w:val="22"/>
          <w:lang w:val="en-US" w:eastAsia="zh-CN"/>
        </w:rPr>
        <w:t xml:space="preserve">In our view, the test configurations shall be settled down first since tests for UEs and tests for IAB-MTs can be different due to different implementations and capabilities. For instance, the group can discuss </w:t>
      </w:r>
      <w:bookmarkStart w:id="7" w:name="_GoBack"/>
      <w:bookmarkEnd w:id="7"/>
      <w:r>
        <w:rPr>
          <w:rFonts w:hint="eastAsia"/>
          <w:b w:val="0"/>
          <w:bCs/>
          <w:sz w:val="22"/>
          <w:szCs w:val="22"/>
          <w:lang w:val="en-US" w:eastAsia="zh-CN"/>
        </w:rPr>
        <w:t>if multiple AoAs are needed in the tests.</w:t>
      </w:r>
    </w:p>
    <w:p>
      <w:pPr>
        <w:pStyle w:val="41"/>
        <w:rPr>
          <w:rFonts w:hint="default"/>
          <w:b w:val="0"/>
          <w:bCs/>
          <w:sz w:val="22"/>
          <w:szCs w:val="22"/>
          <w:lang w:val="en-US" w:eastAsia="zh-CN"/>
        </w:rPr>
      </w:pPr>
      <w:r>
        <w:rPr>
          <w:rFonts w:hint="eastAsia"/>
          <w:b/>
          <w:bCs w:val="0"/>
          <w:sz w:val="22"/>
          <w:szCs w:val="22"/>
          <w:lang w:val="en-US" w:eastAsia="zh-CN"/>
        </w:rPr>
        <w:t>Discuss and settle down on the test configurations first.</w:t>
      </w:r>
    </w:p>
    <w:p>
      <w:pPr>
        <w:pStyle w:val="33"/>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 xml:space="preserve">If core requirements are directly referenced from 38.133, corresponding test cases </w:t>
      </w:r>
      <w:r>
        <w:rPr>
          <w:rFonts w:hint="eastAsia"/>
          <w:b/>
          <w:bCs/>
          <w:sz w:val="22"/>
          <w:szCs w:val="22"/>
          <w:lang w:val="en-US" w:eastAsia="zh-CN"/>
        </w:rPr>
        <w:t>can take UE test cases as a base line with different configurations for IAB-MTs</w:t>
      </w:r>
      <w:r>
        <w:rPr>
          <w:rFonts w:hint="eastAsia" w:eastAsia="宋体"/>
          <w:b/>
          <w:bCs/>
          <w:sz w:val="22"/>
          <w:szCs w:val="22"/>
          <w:lang w:val="en-US" w:eastAsia="zh-CN"/>
        </w:rPr>
        <w:t>.</w:t>
      </w:r>
    </w:p>
    <w:p>
      <w:pPr>
        <w:rPr>
          <w:rFonts w:hint="eastAsia"/>
          <w:b/>
          <w:bCs w:val="0"/>
          <w:sz w:val="22"/>
          <w:szCs w:val="22"/>
          <w:lang w:val="en-US" w:eastAsia="zh-CN"/>
        </w:rPr>
      </w:pPr>
      <w:r>
        <w:rPr>
          <w:rFonts w:hint="eastAsia"/>
          <w:b/>
          <w:bCs w:val="0"/>
          <w:sz w:val="22"/>
          <w:szCs w:val="22"/>
          <w:lang w:val="en-US" w:eastAsia="zh-CN"/>
        </w:rPr>
        <w:t>Proposal 2: To cover all scenarios, specify all test cases in both FR1 and FR2 if applicable.</w:t>
      </w:r>
    </w:p>
    <w:p>
      <w:pPr>
        <w:rPr>
          <w:rFonts w:hint="default"/>
          <w:b/>
          <w:bCs w:val="0"/>
          <w:sz w:val="22"/>
          <w:szCs w:val="22"/>
          <w:lang w:val="en-US" w:eastAsia="zh-CN"/>
        </w:rPr>
      </w:pPr>
      <w:r>
        <w:rPr>
          <w:rFonts w:hint="eastAsia"/>
          <w:b/>
          <w:bCs w:val="0"/>
          <w:sz w:val="22"/>
          <w:szCs w:val="22"/>
          <w:lang w:val="en-US" w:eastAsia="zh-CN"/>
        </w:rPr>
        <w:t>Proposal 3: Discuss the following two options: 1) create a new Annex in TS 38.174 [1] to contain the test cases, 2) have a dedicated specification for all test cases (RRM and RF and demod)</w:t>
      </w:r>
      <w:r>
        <w:rPr>
          <w:rFonts w:hint="default"/>
          <w:b/>
          <w:bCs w:val="0"/>
          <w:sz w:val="22"/>
          <w:szCs w:val="22"/>
          <w:lang w:val="en-US" w:eastAsia="zh-CN"/>
        </w:rPr>
        <w:t>.</w:t>
      </w:r>
    </w:p>
    <w:p>
      <w:pPr>
        <w:rPr>
          <w:rFonts w:hint="default"/>
          <w:b/>
          <w:bCs w:val="0"/>
          <w:sz w:val="22"/>
          <w:szCs w:val="22"/>
          <w:lang w:val="en-US" w:eastAsia="zh-CN"/>
        </w:rPr>
      </w:pPr>
      <w:r>
        <w:rPr>
          <w:rFonts w:hint="eastAsia"/>
          <w:b/>
          <w:bCs w:val="0"/>
          <w:sz w:val="22"/>
          <w:szCs w:val="22"/>
          <w:lang w:val="en-US" w:eastAsia="zh-CN"/>
        </w:rPr>
        <w:t>Proposal 4: Discuss and finalize the above work split. Also discuss and finalize on the skeleton of the test cases in the specification.</w:t>
      </w:r>
    </w:p>
    <w:tbl>
      <w:tblPr>
        <w:tblStyle w:val="23"/>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6"/>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b/>
                <w:bCs w:val="0"/>
                <w:sz w:val="22"/>
                <w:szCs w:val="22"/>
                <w:vertAlign w:val="baseline"/>
                <w:lang w:val="en-US" w:eastAsia="zh-CN"/>
              </w:rPr>
            </w:pPr>
            <w:r>
              <w:rPr>
                <w:rFonts w:hint="eastAsia" w:eastAsia="宋体"/>
                <w:b/>
                <w:bCs w:val="0"/>
                <w:sz w:val="22"/>
                <w:szCs w:val="22"/>
                <w:lang w:val="en-US" w:eastAsia="zh-CN"/>
              </w:rPr>
              <w:t>Draft CRs / Big CRs</w:t>
            </w:r>
          </w:p>
        </w:tc>
        <w:tc>
          <w:tcPr>
            <w:tcW w:w="3217" w:type="dxa"/>
          </w:tcPr>
          <w:p>
            <w:pPr>
              <w:rPr>
                <w:rFonts w:hint="default" w:eastAsia="宋体"/>
                <w:b/>
                <w:bCs w:val="0"/>
                <w:sz w:val="22"/>
                <w:szCs w:val="22"/>
                <w:vertAlign w:val="baseline"/>
                <w:lang w:val="en-US" w:eastAsia="zh-CN"/>
              </w:rPr>
            </w:pPr>
            <w:r>
              <w:rPr>
                <w:rFonts w:hint="eastAsia" w:eastAsia="宋体"/>
                <w:b/>
                <w:bCs w:val="0"/>
                <w:sz w:val="22"/>
                <w:szCs w:val="22"/>
                <w:vertAlign w:val="baseline"/>
                <w:lang w:val="en-US" w:eastAsia="zh-CN"/>
              </w:rPr>
              <w:t>Source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b/>
                <w:bCs w:val="0"/>
                <w:sz w:val="22"/>
                <w:szCs w:val="22"/>
                <w:vertAlign w:val="baseline"/>
                <w:lang w:val="en-US" w:eastAsia="zh-CN"/>
              </w:rPr>
            </w:pPr>
            <w:r>
              <w:rPr>
                <w:b/>
                <w:bCs w:val="0"/>
              </w:rPr>
              <w:t>RRC_CONNECTED state mobility for IAB-MTs</w:t>
            </w:r>
          </w:p>
        </w:tc>
        <w:tc>
          <w:tcPr>
            <w:tcW w:w="3217" w:type="dxa"/>
          </w:tcPr>
          <w:p>
            <w:pPr>
              <w:rPr>
                <w:rFonts w:hint="default" w:eastAsia="宋体"/>
                <w:b/>
                <w:bCs w:val="0"/>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b/>
                <w:bCs w:val="0"/>
                <w:sz w:val="22"/>
                <w:szCs w:val="22"/>
                <w:vertAlign w:val="baseline"/>
                <w:lang w:val="en-US" w:eastAsia="zh-CN"/>
              </w:rPr>
            </w:pPr>
            <w:r>
              <w:rPr>
                <w:rFonts w:hint="eastAsia" w:eastAsia="宋体"/>
                <w:b/>
                <w:bCs w:val="0"/>
                <w:sz w:val="22"/>
                <w:szCs w:val="22"/>
                <w:vertAlign w:val="baseline"/>
                <w:lang w:val="en-US" w:eastAsia="zh-CN"/>
              </w:rPr>
              <w:t>Timing</w:t>
            </w:r>
          </w:p>
        </w:tc>
        <w:tc>
          <w:tcPr>
            <w:tcW w:w="3217" w:type="dxa"/>
          </w:tcPr>
          <w:p>
            <w:pPr>
              <w:rPr>
                <w:rFonts w:hint="default" w:eastAsia="宋体"/>
                <w:b/>
                <w:bCs w:val="0"/>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b/>
                <w:bCs w:val="0"/>
                <w:sz w:val="22"/>
                <w:szCs w:val="22"/>
                <w:lang w:val="en-US" w:eastAsia="zh-CN"/>
              </w:rPr>
            </w:pPr>
            <w:r>
              <w:rPr>
                <w:rFonts w:hint="eastAsia" w:eastAsia="宋体"/>
                <w:b/>
                <w:bCs w:val="0"/>
                <w:sz w:val="22"/>
                <w:szCs w:val="22"/>
                <w:lang w:val="en-US" w:eastAsia="zh-CN"/>
              </w:rPr>
              <w:t>RLM</w:t>
            </w:r>
          </w:p>
        </w:tc>
        <w:tc>
          <w:tcPr>
            <w:tcW w:w="3217" w:type="dxa"/>
          </w:tcPr>
          <w:p>
            <w:pPr>
              <w:rPr>
                <w:rFonts w:hint="default" w:eastAsia="宋体"/>
                <w:b/>
                <w:bCs w:val="0"/>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b/>
                <w:bCs w:val="0"/>
                <w:sz w:val="22"/>
                <w:szCs w:val="22"/>
                <w:lang w:val="en-US" w:eastAsia="zh-CN"/>
              </w:rPr>
            </w:pPr>
            <w:r>
              <w:rPr>
                <w:rFonts w:hint="eastAsia" w:eastAsia="宋体"/>
                <w:b/>
                <w:bCs w:val="0"/>
                <w:sz w:val="22"/>
                <w:szCs w:val="22"/>
                <w:lang w:val="en-US" w:eastAsia="zh-CN"/>
              </w:rPr>
              <w:t>Link recovery</w:t>
            </w:r>
          </w:p>
        </w:tc>
        <w:tc>
          <w:tcPr>
            <w:tcW w:w="3217" w:type="dxa"/>
          </w:tcPr>
          <w:p>
            <w:pPr>
              <w:rPr>
                <w:rFonts w:hint="eastAsia" w:eastAsia="宋体"/>
                <w:b/>
                <w:bCs w:val="0"/>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eastAsia" w:eastAsia="宋体"/>
                <w:b/>
                <w:bCs w:val="0"/>
                <w:sz w:val="22"/>
                <w:szCs w:val="22"/>
                <w:lang w:val="en-US" w:eastAsia="zh-CN"/>
              </w:rPr>
            </w:pPr>
            <w:r>
              <w:rPr>
                <w:rFonts w:hint="eastAsia" w:eastAsia="宋体"/>
                <w:b/>
                <w:bCs/>
                <w:sz w:val="22"/>
                <w:szCs w:val="22"/>
                <w:lang w:val="en-US" w:eastAsia="zh-CN"/>
              </w:rPr>
              <w:t>Test configurations</w:t>
            </w:r>
          </w:p>
        </w:tc>
        <w:tc>
          <w:tcPr>
            <w:tcW w:w="3217" w:type="dxa"/>
          </w:tcPr>
          <w:p>
            <w:pPr>
              <w:rPr>
                <w:rFonts w:hint="eastAsia" w:eastAsia="宋体"/>
                <w:b/>
                <w:bCs w:val="0"/>
                <w:sz w:val="22"/>
                <w:szCs w:val="22"/>
                <w:vertAlign w:val="baseline"/>
                <w:lang w:val="en-US" w:eastAsia="zh-CN"/>
              </w:rPr>
            </w:pPr>
          </w:p>
        </w:tc>
      </w:tr>
    </w:tbl>
    <w:p>
      <w:pPr>
        <w:rPr>
          <w:rFonts w:hint="eastAsia"/>
          <w:b/>
          <w:bCs w:val="0"/>
          <w:sz w:val="22"/>
          <w:szCs w:val="22"/>
          <w:lang w:val="en-US" w:eastAsia="zh-CN"/>
        </w:rPr>
      </w:pPr>
    </w:p>
    <w:p>
      <w:pPr>
        <w:rPr>
          <w:rFonts w:hint="default"/>
          <w:b/>
          <w:bCs w:val="0"/>
          <w:sz w:val="22"/>
          <w:szCs w:val="22"/>
          <w:lang w:val="en-US" w:eastAsia="zh-CN"/>
        </w:rPr>
      </w:pPr>
      <w:r>
        <w:rPr>
          <w:rFonts w:hint="eastAsia"/>
          <w:b/>
          <w:bCs w:val="0"/>
          <w:sz w:val="22"/>
          <w:szCs w:val="22"/>
          <w:lang w:val="en-US" w:eastAsia="zh-CN"/>
        </w:rPr>
        <w:t>Proposal 5: Discuss and settle down on the test configurations first.</w:t>
      </w:r>
    </w:p>
    <w:p>
      <w:pPr>
        <w:pStyle w:val="33"/>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TS 38.174</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TS 38.133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 ??">
    <w:altName w:val="Yu Gothic"/>
    <w:panose1 w:val="00000000000000000000"/>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auto"/>
    <w:pitch w:val="default"/>
    <w:sig w:usb0="E4002E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5"/>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7"/>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6"/>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52"/>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EE7CEB"/>
    <w:rsid w:val="01FF08B3"/>
    <w:rsid w:val="028676F2"/>
    <w:rsid w:val="02B274E2"/>
    <w:rsid w:val="02BB1058"/>
    <w:rsid w:val="02BD7990"/>
    <w:rsid w:val="02C25D33"/>
    <w:rsid w:val="030809EC"/>
    <w:rsid w:val="039A1BDA"/>
    <w:rsid w:val="03AE4991"/>
    <w:rsid w:val="03C6506D"/>
    <w:rsid w:val="03D4576D"/>
    <w:rsid w:val="03F37217"/>
    <w:rsid w:val="04C77D0A"/>
    <w:rsid w:val="04D5204C"/>
    <w:rsid w:val="04F818F7"/>
    <w:rsid w:val="051F0641"/>
    <w:rsid w:val="059B61E4"/>
    <w:rsid w:val="05A86143"/>
    <w:rsid w:val="05D42FA6"/>
    <w:rsid w:val="06105DAC"/>
    <w:rsid w:val="066957D5"/>
    <w:rsid w:val="06941ED3"/>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BEF1FC5"/>
    <w:rsid w:val="0C2A1653"/>
    <w:rsid w:val="0C3C5307"/>
    <w:rsid w:val="0C56263C"/>
    <w:rsid w:val="0C5E2B8A"/>
    <w:rsid w:val="0D102274"/>
    <w:rsid w:val="0DA958CA"/>
    <w:rsid w:val="0DF104D3"/>
    <w:rsid w:val="0E1C586B"/>
    <w:rsid w:val="0E8A024B"/>
    <w:rsid w:val="0ED138E6"/>
    <w:rsid w:val="0F67780F"/>
    <w:rsid w:val="0F8F3C2A"/>
    <w:rsid w:val="0FB648CB"/>
    <w:rsid w:val="0FD0731A"/>
    <w:rsid w:val="0FF1533A"/>
    <w:rsid w:val="0FFE0AFA"/>
    <w:rsid w:val="10732202"/>
    <w:rsid w:val="10860ED5"/>
    <w:rsid w:val="10AA3C13"/>
    <w:rsid w:val="10CA41CF"/>
    <w:rsid w:val="10CD0B75"/>
    <w:rsid w:val="110C4D24"/>
    <w:rsid w:val="11283655"/>
    <w:rsid w:val="113B0066"/>
    <w:rsid w:val="11F71F3A"/>
    <w:rsid w:val="122017FC"/>
    <w:rsid w:val="128409CA"/>
    <w:rsid w:val="12943DAD"/>
    <w:rsid w:val="129F78DF"/>
    <w:rsid w:val="12BB3A94"/>
    <w:rsid w:val="12EF585C"/>
    <w:rsid w:val="13262572"/>
    <w:rsid w:val="136D11EC"/>
    <w:rsid w:val="137D50D6"/>
    <w:rsid w:val="139B3B65"/>
    <w:rsid w:val="13A62830"/>
    <w:rsid w:val="13D36053"/>
    <w:rsid w:val="13F75352"/>
    <w:rsid w:val="141E7377"/>
    <w:rsid w:val="1480544B"/>
    <w:rsid w:val="14B36B91"/>
    <w:rsid w:val="14DE3D1B"/>
    <w:rsid w:val="15DD3861"/>
    <w:rsid w:val="16222725"/>
    <w:rsid w:val="162900B5"/>
    <w:rsid w:val="1634239A"/>
    <w:rsid w:val="1637653C"/>
    <w:rsid w:val="16394032"/>
    <w:rsid w:val="164F667E"/>
    <w:rsid w:val="165D0583"/>
    <w:rsid w:val="16654289"/>
    <w:rsid w:val="16BA6C12"/>
    <w:rsid w:val="16CB37AF"/>
    <w:rsid w:val="16DB79C9"/>
    <w:rsid w:val="16F55CC6"/>
    <w:rsid w:val="17075EF4"/>
    <w:rsid w:val="17141F2D"/>
    <w:rsid w:val="176F5C05"/>
    <w:rsid w:val="17A076C4"/>
    <w:rsid w:val="17A62BCE"/>
    <w:rsid w:val="17E12498"/>
    <w:rsid w:val="17E826AB"/>
    <w:rsid w:val="18407C50"/>
    <w:rsid w:val="1872258F"/>
    <w:rsid w:val="18D3414F"/>
    <w:rsid w:val="18D91924"/>
    <w:rsid w:val="19831412"/>
    <w:rsid w:val="1988454F"/>
    <w:rsid w:val="19A96435"/>
    <w:rsid w:val="19E43A3D"/>
    <w:rsid w:val="1A0B3A21"/>
    <w:rsid w:val="1A352FE3"/>
    <w:rsid w:val="1A787DA9"/>
    <w:rsid w:val="1B3329B5"/>
    <w:rsid w:val="1B595D85"/>
    <w:rsid w:val="1B7F155B"/>
    <w:rsid w:val="1BAE2A00"/>
    <w:rsid w:val="1C5E2F54"/>
    <w:rsid w:val="1C6109E1"/>
    <w:rsid w:val="1CA0799D"/>
    <w:rsid w:val="1CDA242C"/>
    <w:rsid w:val="1CFB2AC1"/>
    <w:rsid w:val="1D1F1294"/>
    <w:rsid w:val="1D85535E"/>
    <w:rsid w:val="1DB41841"/>
    <w:rsid w:val="1DE45821"/>
    <w:rsid w:val="1DF64986"/>
    <w:rsid w:val="1DFB6FF3"/>
    <w:rsid w:val="1E8806BC"/>
    <w:rsid w:val="1EA137E3"/>
    <w:rsid w:val="1EC97F44"/>
    <w:rsid w:val="1F01342D"/>
    <w:rsid w:val="1F0936F5"/>
    <w:rsid w:val="1F17474D"/>
    <w:rsid w:val="1F2B10F9"/>
    <w:rsid w:val="1F711839"/>
    <w:rsid w:val="1F8A172B"/>
    <w:rsid w:val="1FA564C4"/>
    <w:rsid w:val="1FB30CC3"/>
    <w:rsid w:val="200D067C"/>
    <w:rsid w:val="20811B82"/>
    <w:rsid w:val="20A662B2"/>
    <w:rsid w:val="210140E7"/>
    <w:rsid w:val="21091739"/>
    <w:rsid w:val="211451D0"/>
    <w:rsid w:val="211B0B99"/>
    <w:rsid w:val="21402B64"/>
    <w:rsid w:val="2151075A"/>
    <w:rsid w:val="2187422D"/>
    <w:rsid w:val="219E74A3"/>
    <w:rsid w:val="22271C95"/>
    <w:rsid w:val="22571B82"/>
    <w:rsid w:val="225E0952"/>
    <w:rsid w:val="22843CEF"/>
    <w:rsid w:val="22920D1D"/>
    <w:rsid w:val="22A73299"/>
    <w:rsid w:val="22C0245E"/>
    <w:rsid w:val="22DF0545"/>
    <w:rsid w:val="23514077"/>
    <w:rsid w:val="23855295"/>
    <w:rsid w:val="23B20773"/>
    <w:rsid w:val="23CF6D67"/>
    <w:rsid w:val="241F60FE"/>
    <w:rsid w:val="248F188B"/>
    <w:rsid w:val="24BD0518"/>
    <w:rsid w:val="24E91488"/>
    <w:rsid w:val="25077EC5"/>
    <w:rsid w:val="256A021C"/>
    <w:rsid w:val="25962669"/>
    <w:rsid w:val="25C20278"/>
    <w:rsid w:val="25C545AD"/>
    <w:rsid w:val="262A1742"/>
    <w:rsid w:val="262D62D9"/>
    <w:rsid w:val="26681CAB"/>
    <w:rsid w:val="267E5FCE"/>
    <w:rsid w:val="27572E0B"/>
    <w:rsid w:val="2762235C"/>
    <w:rsid w:val="276537E8"/>
    <w:rsid w:val="27F33DF9"/>
    <w:rsid w:val="280C272A"/>
    <w:rsid w:val="281B6C69"/>
    <w:rsid w:val="284E33F7"/>
    <w:rsid w:val="287A3770"/>
    <w:rsid w:val="28C759BF"/>
    <w:rsid w:val="290A138C"/>
    <w:rsid w:val="293606FA"/>
    <w:rsid w:val="29517179"/>
    <w:rsid w:val="299C602C"/>
    <w:rsid w:val="29E7086A"/>
    <w:rsid w:val="2A1219AD"/>
    <w:rsid w:val="2A394321"/>
    <w:rsid w:val="2A746446"/>
    <w:rsid w:val="2AAF72F6"/>
    <w:rsid w:val="2AE26D3F"/>
    <w:rsid w:val="2AF125AB"/>
    <w:rsid w:val="2AF8774D"/>
    <w:rsid w:val="2B0F6E62"/>
    <w:rsid w:val="2B3F4136"/>
    <w:rsid w:val="2B5F7B9D"/>
    <w:rsid w:val="2B6F3DB4"/>
    <w:rsid w:val="2B7579C5"/>
    <w:rsid w:val="2BB04900"/>
    <w:rsid w:val="2BEA3E24"/>
    <w:rsid w:val="2C1B2490"/>
    <w:rsid w:val="2C3A3275"/>
    <w:rsid w:val="2C495744"/>
    <w:rsid w:val="2CEE6B8D"/>
    <w:rsid w:val="2D233DAE"/>
    <w:rsid w:val="2D8E403A"/>
    <w:rsid w:val="2DA94FA8"/>
    <w:rsid w:val="2E145F76"/>
    <w:rsid w:val="2EA86D09"/>
    <w:rsid w:val="2ECE747D"/>
    <w:rsid w:val="2F32226B"/>
    <w:rsid w:val="2F376D10"/>
    <w:rsid w:val="2FA231C5"/>
    <w:rsid w:val="308B65F2"/>
    <w:rsid w:val="30A9337F"/>
    <w:rsid w:val="30B90458"/>
    <w:rsid w:val="30F5782F"/>
    <w:rsid w:val="3117229F"/>
    <w:rsid w:val="31395268"/>
    <w:rsid w:val="316D08AD"/>
    <w:rsid w:val="31A50177"/>
    <w:rsid w:val="31C10263"/>
    <w:rsid w:val="31DD775A"/>
    <w:rsid w:val="31ED10C9"/>
    <w:rsid w:val="320F0A18"/>
    <w:rsid w:val="32236D48"/>
    <w:rsid w:val="32351CB2"/>
    <w:rsid w:val="324554E5"/>
    <w:rsid w:val="325D2B5A"/>
    <w:rsid w:val="327661FC"/>
    <w:rsid w:val="32883039"/>
    <w:rsid w:val="32B33B5A"/>
    <w:rsid w:val="32EE27B2"/>
    <w:rsid w:val="331578D2"/>
    <w:rsid w:val="33372789"/>
    <w:rsid w:val="333876C2"/>
    <w:rsid w:val="33484A1E"/>
    <w:rsid w:val="335F47E9"/>
    <w:rsid w:val="33FB17D8"/>
    <w:rsid w:val="346E4104"/>
    <w:rsid w:val="3476470C"/>
    <w:rsid w:val="34D83C16"/>
    <w:rsid w:val="34F42A3D"/>
    <w:rsid w:val="3509315E"/>
    <w:rsid w:val="351A4CC6"/>
    <w:rsid w:val="35B2253F"/>
    <w:rsid w:val="37705F34"/>
    <w:rsid w:val="377700B0"/>
    <w:rsid w:val="37857872"/>
    <w:rsid w:val="37AF7036"/>
    <w:rsid w:val="38020CE2"/>
    <w:rsid w:val="380927B5"/>
    <w:rsid w:val="381F0B0E"/>
    <w:rsid w:val="382139EC"/>
    <w:rsid w:val="3876150B"/>
    <w:rsid w:val="38EF03A6"/>
    <w:rsid w:val="38F0125F"/>
    <w:rsid w:val="3900577A"/>
    <w:rsid w:val="392739EA"/>
    <w:rsid w:val="392D38AD"/>
    <w:rsid w:val="3946679B"/>
    <w:rsid w:val="394D1646"/>
    <w:rsid w:val="399A43EA"/>
    <w:rsid w:val="39E45347"/>
    <w:rsid w:val="3A0F1960"/>
    <w:rsid w:val="3A166029"/>
    <w:rsid w:val="3AC125B3"/>
    <w:rsid w:val="3AF216E5"/>
    <w:rsid w:val="3B0B15C3"/>
    <w:rsid w:val="3B136008"/>
    <w:rsid w:val="3B30671A"/>
    <w:rsid w:val="3B5662AC"/>
    <w:rsid w:val="3B981241"/>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17BE0"/>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233198"/>
    <w:rsid w:val="442D1D05"/>
    <w:rsid w:val="449E489D"/>
    <w:rsid w:val="44B24294"/>
    <w:rsid w:val="44CF520F"/>
    <w:rsid w:val="44D50483"/>
    <w:rsid w:val="451019FB"/>
    <w:rsid w:val="45361837"/>
    <w:rsid w:val="4543370D"/>
    <w:rsid w:val="455B13AC"/>
    <w:rsid w:val="45CF3CD0"/>
    <w:rsid w:val="460410E6"/>
    <w:rsid w:val="460567D8"/>
    <w:rsid w:val="4626023B"/>
    <w:rsid w:val="462F25DF"/>
    <w:rsid w:val="463F034E"/>
    <w:rsid w:val="46620161"/>
    <w:rsid w:val="46B943E9"/>
    <w:rsid w:val="46C17C69"/>
    <w:rsid w:val="46E63986"/>
    <w:rsid w:val="473B1B20"/>
    <w:rsid w:val="47971B97"/>
    <w:rsid w:val="479F63EE"/>
    <w:rsid w:val="47C304FD"/>
    <w:rsid w:val="47C357A6"/>
    <w:rsid w:val="47D77F02"/>
    <w:rsid w:val="47E019F7"/>
    <w:rsid w:val="4815186D"/>
    <w:rsid w:val="485A4BA7"/>
    <w:rsid w:val="487C3875"/>
    <w:rsid w:val="48977283"/>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23481A"/>
    <w:rsid w:val="4E345636"/>
    <w:rsid w:val="4E652C5C"/>
    <w:rsid w:val="4E9105E7"/>
    <w:rsid w:val="4E975452"/>
    <w:rsid w:val="4EB053BD"/>
    <w:rsid w:val="4F7A15C7"/>
    <w:rsid w:val="4FBC6FAF"/>
    <w:rsid w:val="4FDC68F3"/>
    <w:rsid w:val="4FFF46BE"/>
    <w:rsid w:val="50005DA1"/>
    <w:rsid w:val="501618E0"/>
    <w:rsid w:val="5041435B"/>
    <w:rsid w:val="50564CCA"/>
    <w:rsid w:val="505A1CB0"/>
    <w:rsid w:val="5090049B"/>
    <w:rsid w:val="509778C7"/>
    <w:rsid w:val="51773E2A"/>
    <w:rsid w:val="51A40397"/>
    <w:rsid w:val="51C53170"/>
    <w:rsid w:val="51F72749"/>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BB2D91"/>
    <w:rsid w:val="56DA5A5F"/>
    <w:rsid w:val="577E3F1D"/>
    <w:rsid w:val="586B2608"/>
    <w:rsid w:val="5879595C"/>
    <w:rsid w:val="588331BE"/>
    <w:rsid w:val="592D7AE2"/>
    <w:rsid w:val="593554F0"/>
    <w:rsid w:val="597C58B1"/>
    <w:rsid w:val="5981432B"/>
    <w:rsid w:val="59F967B7"/>
    <w:rsid w:val="5A3078C5"/>
    <w:rsid w:val="5AD44081"/>
    <w:rsid w:val="5ADF3A74"/>
    <w:rsid w:val="5AE53367"/>
    <w:rsid w:val="5B0B0083"/>
    <w:rsid w:val="5BC3228B"/>
    <w:rsid w:val="5BFC28DA"/>
    <w:rsid w:val="5C3B1FEA"/>
    <w:rsid w:val="5C6A01BF"/>
    <w:rsid w:val="5CA01D20"/>
    <w:rsid w:val="5CEB6783"/>
    <w:rsid w:val="5D041ECD"/>
    <w:rsid w:val="5D364B6E"/>
    <w:rsid w:val="5D5E1AC8"/>
    <w:rsid w:val="5D9B1560"/>
    <w:rsid w:val="5E051414"/>
    <w:rsid w:val="5E206741"/>
    <w:rsid w:val="5E2D4C21"/>
    <w:rsid w:val="5E820037"/>
    <w:rsid w:val="5EE41E2E"/>
    <w:rsid w:val="5F0F00DA"/>
    <w:rsid w:val="60017F85"/>
    <w:rsid w:val="6045086B"/>
    <w:rsid w:val="60745B63"/>
    <w:rsid w:val="60AC01F6"/>
    <w:rsid w:val="60F64A32"/>
    <w:rsid w:val="61051332"/>
    <w:rsid w:val="611B3A0C"/>
    <w:rsid w:val="62812953"/>
    <w:rsid w:val="62B7743E"/>
    <w:rsid w:val="62B8352F"/>
    <w:rsid w:val="62EF63FA"/>
    <w:rsid w:val="632B39DC"/>
    <w:rsid w:val="64116858"/>
    <w:rsid w:val="64550D9E"/>
    <w:rsid w:val="648449D8"/>
    <w:rsid w:val="648D5222"/>
    <w:rsid w:val="64B2258D"/>
    <w:rsid w:val="64E30C9E"/>
    <w:rsid w:val="64E86D2F"/>
    <w:rsid w:val="65282F3C"/>
    <w:rsid w:val="652D0480"/>
    <w:rsid w:val="657C25FC"/>
    <w:rsid w:val="65997784"/>
    <w:rsid w:val="65A976E6"/>
    <w:rsid w:val="65C64C37"/>
    <w:rsid w:val="65D01190"/>
    <w:rsid w:val="66197BB5"/>
    <w:rsid w:val="66AB371C"/>
    <w:rsid w:val="66AE1192"/>
    <w:rsid w:val="66CA69C3"/>
    <w:rsid w:val="6794708A"/>
    <w:rsid w:val="67CE0CE2"/>
    <w:rsid w:val="67DA4215"/>
    <w:rsid w:val="67E42DFA"/>
    <w:rsid w:val="681D58BA"/>
    <w:rsid w:val="68282EE5"/>
    <w:rsid w:val="68EB3ADC"/>
    <w:rsid w:val="69240005"/>
    <w:rsid w:val="69462386"/>
    <w:rsid w:val="69C96ADD"/>
    <w:rsid w:val="69DC5A3B"/>
    <w:rsid w:val="69E50464"/>
    <w:rsid w:val="69FF22B8"/>
    <w:rsid w:val="6A2F06BE"/>
    <w:rsid w:val="6A7016FE"/>
    <w:rsid w:val="6AFC6812"/>
    <w:rsid w:val="6B16402E"/>
    <w:rsid w:val="6B5E2EC6"/>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2B4268"/>
    <w:rsid w:val="7037013D"/>
    <w:rsid w:val="704E4A67"/>
    <w:rsid w:val="70995673"/>
    <w:rsid w:val="70AA0AC2"/>
    <w:rsid w:val="70AA24EA"/>
    <w:rsid w:val="70B97CE8"/>
    <w:rsid w:val="70CE3ABF"/>
    <w:rsid w:val="70D46C56"/>
    <w:rsid w:val="70EA7511"/>
    <w:rsid w:val="71143E21"/>
    <w:rsid w:val="71616F10"/>
    <w:rsid w:val="71AA0B0E"/>
    <w:rsid w:val="71B344B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1C22C5"/>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447623"/>
    <w:rsid w:val="789A2100"/>
    <w:rsid w:val="793758F2"/>
    <w:rsid w:val="7A080BBF"/>
    <w:rsid w:val="7A444CED"/>
    <w:rsid w:val="7A4F2396"/>
    <w:rsid w:val="7A787ECB"/>
    <w:rsid w:val="7A875FC6"/>
    <w:rsid w:val="7A8B51CB"/>
    <w:rsid w:val="7A984514"/>
    <w:rsid w:val="7AB42ADF"/>
    <w:rsid w:val="7AB507FA"/>
    <w:rsid w:val="7AC634CB"/>
    <w:rsid w:val="7ACB482C"/>
    <w:rsid w:val="7AF137EF"/>
    <w:rsid w:val="7B2531D6"/>
    <w:rsid w:val="7B5B11D8"/>
    <w:rsid w:val="7C41564D"/>
    <w:rsid w:val="7C4B06CD"/>
    <w:rsid w:val="7C8E16C9"/>
    <w:rsid w:val="7CA10AF6"/>
    <w:rsid w:val="7CB561C0"/>
    <w:rsid w:val="7CCC277F"/>
    <w:rsid w:val="7CE3033A"/>
    <w:rsid w:val="7D0A2590"/>
    <w:rsid w:val="7D550752"/>
    <w:rsid w:val="7D6A7A29"/>
    <w:rsid w:val="7DA0035E"/>
    <w:rsid w:val="7DBB25FD"/>
    <w:rsid w:val="7DCC5A45"/>
    <w:rsid w:val="7E630B4F"/>
    <w:rsid w:val="7E8B6D0C"/>
    <w:rsid w:val="7F285EA4"/>
    <w:rsid w:val="7F757B1C"/>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30"/>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9"/>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8"/>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43"/>
    <w:unhideWhenUsed/>
    <w:qFormat/>
    <w:uiPriority w:val="35"/>
    <w:pPr>
      <w:spacing w:after="200" w:line="240" w:lineRule="auto"/>
      <w:jc w:val="center"/>
    </w:pPr>
    <w:rPr>
      <w:rFonts w:ascii="Arial" w:hAnsi="Arial"/>
      <w:i/>
      <w:iCs/>
      <w:sz w:val="18"/>
      <w:szCs w:val="18"/>
    </w:rPr>
  </w:style>
  <w:style w:type="paragraph" w:styleId="8">
    <w:name w:val="annotation text"/>
    <w:basedOn w:val="1"/>
    <w:link w:val="63"/>
    <w:semiHidden/>
    <w:unhideWhenUsed/>
    <w:qFormat/>
    <w:uiPriority w:val="99"/>
    <w:pPr>
      <w:spacing w:line="240" w:lineRule="auto"/>
    </w:pPr>
    <w:rPr>
      <w:szCs w:val="20"/>
    </w:rPr>
  </w:style>
  <w:style w:type="paragraph" w:styleId="9">
    <w:name w:val="Body Text"/>
    <w:basedOn w:val="1"/>
    <w:link w:val="51"/>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toc 5"/>
    <w:basedOn w:val="13"/>
    <w:next w:val="1"/>
    <w:qFormat/>
    <w:uiPriority w:val="0"/>
    <w:pPr>
      <w:tabs>
        <w:tab w:val="right" w:leader="dot" w:pos="9639"/>
      </w:tabs>
      <w:ind w:left="1701" w:hanging="1701"/>
    </w:pPr>
  </w:style>
  <w:style w:type="paragraph" w:styleId="13">
    <w:name w:val="toc 4"/>
    <w:basedOn w:val="14"/>
    <w:next w:val="1"/>
    <w:qFormat/>
    <w:uiPriority w:val="0"/>
    <w:pPr>
      <w:tabs>
        <w:tab w:val="right" w:leader="dot" w:pos="9639"/>
      </w:tabs>
      <w:ind w:left="1418" w:hanging="1418"/>
    </w:pPr>
  </w:style>
  <w:style w:type="paragraph" w:styleId="14">
    <w:name w:val="toc 3"/>
    <w:basedOn w:val="15"/>
    <w:next w:val="1"/>
    <w:qFormat/>
    <w:uiPriority w:val="0"/>
    <w:pPr>
      <w:tabs>
        <w:tab w:val="right" w:leader="dot" w:pos="9639"/>
      </w:tabs>
      <w:ind w:left="1134" w:hanging="1134"/>
    </w:pPr>
  </w:style>
  <w:style w:type="paragraph" w:styleId="15">
    <w:name w:val="toc 2"/>
    <w:basedOn w:val="16"/>
    <w:next w:val="1"/>
    <w:unhideWhenUsed/>
    <w:qFormat/>
    <w:uiPriority w:val="39"/>
    <w:pPr>
      <w:spacing w:after="100"/>
      <w:ind w:left="200"/>
    </w:pPr>
  </w:style>
  <w:style w:type="paragraph" w:styleId="16">
    <w:name w:val="toc 1"/>
    <w:basedOn w:val="1"/>
    <w:next w:val="1"/>
    <w:unhideWhenUsed/>
    <w:qFormat/>
    <w:uiPriority w:val="39"/>
    <w:pPr>
      <w:spacing w:after="100"/>
    </w:pPr>
  </w:style>
  <w:style w:type="paragraph" w:styleId="17">
    <w:name w:val="Balloon Text"/>
    <w:basedOn w:val="1"/>
    <w:link w:val="60"/>
    <w:semiHidden/>
    <w:unhideWhenUsed/>
    <w:qFormat/>
    <w:uiPriority w:val="99"/>
    <w:pPr>
      <w:spacing w:after="0" w:line="240" w:lineRule="auto"/>
    </w:pPr>
    <w:rPr>
      <w:rFonts w:ascii="Segoe UI" w:hAnsi="Segoe UI" w:cs="Segoe UI"/>
      <w:sz w:val="18"/>
      <w:szCs w:val="18"/>
    </w:rPr>
  </w:style>
  <w:style w:type="paragraph" w:styleId="18">
    <w:name w:val="header"/>
    <w:basedOn w:val="1"/>
    <w:link w:val="58"/>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9">
    <w:name w:val="toc 6"/>
    <w:basedOn w:val="12"/>
    <w:next w:val="1"/>
    <w:qFormat/>
    <w:uiPriority w:val="0"/>
    <w:pPr>
      <w:ind w:left="1985" w:hanging="1985"/>
    </w:pPr>
  </w:style>
  <w:style w:type="paragraph" w:styleId="20">
    <w:name w:val="table of figures"/>
    <w:basedOn w:val="1"/>
    <w:next w:val="1"/>
    <w:unhideWhenUsed/>
    <w:qFormat/>
    <w:uiPriority w:val="99"/>
    <w:pPr>
      <w:spacing w:after="0"/>
    </w:pPr>
  </w:style>
  <w:style w:type="paragraph" w:styleId="21">
    <w:name w:val="annotation subject"/>
    <w:basedOn w:val="8"/>
    <w:next w:val="8"/>
    <w:link w:val="64"/>
    <w:semiHidden/>
    <w:unhideWhenUsed/>
    <w:qFormat/>
    <w:uiPriority w:val="99"/>
    <w:rPr>
      <w:b/>
      <w:bCs/>
    </w:rPr>
  </w:style>
  <w:style w:type="table" w:styleId="23">
    <w:name w:val="Table Grid"/>
    <w:basedOn w:val="22"/>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6">
    <w:name w:val="Emphasis"/>
    <w:basedOn w:val="24"/>
    <w:qFormat/>
    <w:uiPriority w:val="20"/>
    <w:rPr>
      <w:i/>
    </w:rPr>
  </w:style>
  <w:style w:type="character" w:styleId="27">
    <w:name w:val="Hyperlink"/>
    <w:basedOn w:val="24"/>
    <w:unhideWhenUsed/>
    <w:qFormat/>
    <w:uiPriority w:val="99"/>
    <w:rPr>
      <w:color w:val="0563C1" w:themeColor="hyperlink"/>
      <w:u w:val="single"/>
      <w14:textFill>
        <w14:solidFill>
          <w14:schemeClr w14:val="hlink"/>
        </w14:solidFill>
      </w14:textFill>
    </w:rPr>
  </w:style>
  <w:style w:type="character" w:styleId="28">
    <w:name w:val="annotation reference"/>
    <w:basedOn w:val="24"/>
    <w:semiHidden/>
    <w:unhideWhenUsed/>
    <w:qFormat/>
    <w:uiPriority w:val="99"/>
    <w:rPr>
      <w:sz w:val="16"/>
      <w:szCs w:val="16"/>
    </w:rPr>
  </w:style>
  <w:style w:type="character" w:customStyle="1" w:styleId="29">
    <w:name w:val="Heading 2 Char"/>
    <w:basedOn w:val="24"/>
    <w:link w:val="3"/>
    <w:qFormat/>
    <w:uiPriority w:val="0"/>
    <w:rPr>
      <w:rFonts w:ascii="Arial" w:hAnsi="Arial" w:eastAsia="Times New Roman" w:cs="Times New Roman"/>
      <w:sz w:val="32"/>
      <w:szCs w:val="20"/>
      <w:lang w:val="en-GB"/>
    </w:rPr>
  </w:style>
  <w:style w:type="character" w:customStyle="1" w:styleId="30">
    <w:name w:val="Heading 1 Char"/>
    <w:basedOn w:val="24"/>
    <w:link w:val="2"/>
    <w:qFormat/>
    <w:uiPriority w:val="9"/>
    <w:rPr>
      <w:rFonts w:asciiTheme="majorHAnsi" w:hAnsiTheme="majorHAnsi" w:eastAsiaTheme="majorEastAsia" w:cstheme="majorBidi"/>
      <w:color w:val="2F5597" w:themeColor="accent1" w:themeShade="BF"/>
      <w:sz w:val="32"/>
      <w:szCs w:val="32"/>
    </w:rPr>
  </w:style>
  <w:style w:type="paragraph" w:styleId="31">
    <w:name w:val="List Paragraph"/>
    <w:basedOn w:val="1"/>
    <w:link w:val="38"/>
    <w:qFormat/>
    <w:uiPriority w:val="34"/>
    <w:pPr>
      <w:ind w:left="720"/>
      <w:contextualSpacing/>
    </w:pPr>
  </w:style>
  <w:style w:type="paragraph" w:customStyle="1" w:styleId="32">
    <w:name w:val="RAN4 H2"/>
    <w:basedOn w:val="3"/>
    <w:next w:val="1"/>
    <w:link w:val="34"/>
    <w:qFormat/>
    <w:uiPriority w:val="0"/>
    <w:rPr>
      <w:lang w:val="en-US"/>
    </w:rPr>
  </w:style>
  <w:style w:type="paragraph" w:customStyle="1" w:styleId="33">
    <w:name w:val="RAN4 H1"/>
    <w:basedOn w:val="1"/>
    <w:link w:val="36"/>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4">
    <w:name w:val="RAN4 H2 Char"/>
    <w:basedOn w:val="29"/>
    <w:link w:val="32"/>
    <w:qFormat/>
    <w:uiPriority w:val="0"/>
    <w:rPr>
      <w:rFonts w:ascii="Arial" w:hAnsi="Arial" w:eastAsia="Times New Roman" w:cs="Times New Roman"/>
      <w:sz w:val="32"/>
      <w:szCs w:val="20"/>
      <w:lang w:val="en-GB"/>
    </w:rPr>
  </w:style>
  <w:style w:type="paragraph" w:customStyle="1" w:styleId="35">
    <w:name w:val="RAN4 Observation"/>
    <w:basedOn w:val="31"/>
    <w:next w:val="1"/>
    <w:link w:val="39"/>
    <w:qFormat/>
    <w:uiPriority w:val="0"/>
    <w:pPr>
      <w:numPr>
        <w:ilvl w:val="0"/>
        <w:numId w:val="1"/>
      </w:numPr>
    </w:pPr>
    <w:rPr>
      <w:rFonts w:eastAsia="Calibri" w:cs="Times New Roman"/>
      <w:szCs w:val="20"/>
      <w:lang w:val="en-GB"/>
    </w:rPr>
  </w:style>
  <w:style w:type="character" w:customStyle="1" w:styleId="36">
    <w:name w:val="RAN4 H1 Char"/>
    <w:basedOn w:val="24"/>
    <w:link w:val="33"/>
    <w:qFormat/>
    <w:uiPriority w:val="0"/>
    <w:rPr>
      <w:rFonts w:ascii="Arial" w:hAnsi="Arial" w:eastAsia="宋体" w:cs="Times New Roman"/>
      <w:sz w:val="36"/>
      <w:szCs w:val="20"/>
      <w:lang w:val="en-GB"/>
    </w:rPr>
  </w:style>
  <w:style w:type="paragraph" w:customStyle="1" w:styleId="37">
    <w:name w:val="RAN4 Proposal"/>
    <w:basedOn w:val="31"/>
    <w:next w:val="1"/>
    <w:link w:val="40"/>
    <w:qFormat/>
    <w:uiPriority w:val="0"/>
    <w:pPr>
      <w:numPr>
        <w:ilvl w:val="0"/>
        <w:numId w:val="2"/>
      </w:numPr>
      <w:ind w:left="0" w:firstLine="0"/>
    </w:pPr>
    <w:rPr>
      <w:rFonts w:eastAsia="Calibri" w:cs="Times New Roman"/>
      <w:b/>
      <w:szCs w:val="20"/>
      <w:lang w:val="en-GB"/>
    </w:rPr>
  </w:style>
  <w:style w:type="character" w:customStyle="1" w:styleId="38">
    <w:name w:val="List Paragraph Char"/>
    <w:basedOn w:val="24"/>
    <w:link w:val="31"/>
    <w:qFormat/>
    <w:uiPriority w:val="34"/>
  </w:style>
  <w:style w:type="character" w:customStyle="1" w:styleId="39">
    <w:name w:val="RAN4 Observation Char"/>
    <w:basedOn w:val="38"/>
    <w:link w:val="35"/>
    <w:qFormat/>
    <w:uiPriority w:val="0"/>
    <w:rPr>
      <w:rFonts w:ascii="Times New Roman" w:hAnsi="Times New Roman" w:eastAsia="Calibri" w:cs="Times New Roman"/>
      <w:sz w:val="20"/>
      <w:szCs w:val="20"/>
      <w:lang w:val="en-GB"/>
    </w:rPr>
  </w:style>
  <w:style w:type="character" w:customStyle="1" w:styleId="40">
    <w:name w:val="RAN4 Proposal Char"/>
    <w:basedOn w:val="38"/>
    <w:link w:val="37"/>
    <w:qFormat/>
    <w:uiPriority w:val="0"/>
    <w:rPr>
      <w:rFonts w:ascii="Times New Roman" w:hAnsi="Times New Roman" w:eastAsia="Calibri" w:cs="Times New Roman"/>
      <w:b/>
      <w:sz w:val="20"/>
      <w:szCs w:val="20"/>
      <w:lang w:val="en-GB"/>
    </w:rPr>
  </w:style>
  <w:style w:type="paragraph" w:customStyle="1" w:styleId="41">
    <w:name w:val="RAN4 proposal"/>
    <w:basedOn w:val="7"/>
    <w:next w:val="1"/>
    <w:link w:val="44"/>
    <w:qFormat/>
    <w:uiPriority w:val="0"/>
    <w:pPr>
      <w:numPr>
        <w:ilvl w:val="0"/>
        <w:numId w:val="3"/>
      </w:numPr>
      <w:ind w:left="0" w:firstLine="0"/>
      <w:jc w:val="left"/>
    </w:pPr>
    <w:rPr>
      <w:rFonts w:ascii="Times New Roman" w:hAnsi="Times New Roman"/>
      <w:b/>
      <w:i w:val="0"/>
      <w:sz w:val="22"/>
    </w:rPr>
  </w:style>
  <w:style w:type="paragraph" w:customStyle="1" w:styleId="42">
    <w:name w:val="TOC Heading"/>
    <w:basedOn w:val="2"/>
    <w:next w:val="1"/>
    <w:unhideWhenUsed/>
    <w:qFormat/>
    <w:uiPriority w:val="39"/>
    <w:pPr>
      <w:outlineLvl w:val="9"/>
    </w:pPr>
  </w:style>
  <w:style w:type="character" w:customStyle="1" w:styleId="43">
    <w:name w:val="Caption Char"/>
    <w:basedOn w:val="24"/>
    <w:link w:val="7"/>
    <w:qFormat/>
    <w:uiPriority w:val="35"/>
    <w:rPr>
      <w:rFonts w:ascii="Arial" w:hAnsi="Arial"/>
      <w:i/>
      <w:iCs/>
      <w:sz w:val="18"/>
      <w:szCs w:val="18"/>
    </w:rPr>
  </w:style>
  <w:style w:type="character" w:customStyle="1" w:styleId="44">
    <w:name w:val="RAN4 proposal Char"/>
    <w:basedOn w:val="43"/>
    <w:link w:val="41"/>
    <w:qFormat/>
    <w:uiPriority w:val="0"/>
    <w:rPr>
      <w:rFonts w:ascii="Times New Roman" w:hAnsi="Times New Roman"/>
      <w:b/>
      <w:i w:val="0"/>
      <w:sz w:val="18"/>
      <w:szCs w:val="18"/>
    </w:rPr>
  </w:style>
  <w:style w:type="paragraph" w:customStyle="1" w:styleId="45">
    <w:name w:val="RAN4 observation"/>
    <w:basedOn w:val="35"/>
    <w:next w:val="1"/>
    <w:link w:val="46"/>
    <w:qFormat/>
    <w:uiPriority w:val="0"/>
    <w:pPr>
      <w:ind w:left="0" w:firstLine="0"/>
    </w:pPr>
    <w:rPr>
      <w:sz w:val="22"/>
    </w:rPr>
  </w:style>
  <w:style w:type="character" w:customStyle="1" w:styleId="46">
    <w:name w:val="RAN4 observation Char"/>
    <w:basedOn w:val="39"/>
    <w:link w:val="45"/>
    <w:qFormat/>
    <w:uiPriority w:val="0"/>
    <w:rPr>
      <w:rFonts w:ascii="Times New Roman" w:hAnsi="Times New Roman" w:eastAsia="Calibri" w:cs="Times New Roman"/>
      <w:sz w:val="20"/>
      <w:szCs w:val="20"/>
      <w:lang w:val="en-GB"/>
    </w:rPr>
  </w:style>
  <w:style w:type="character" w:customStyle="1" w:styleId="47">
    <w:name w:val="Unresolved Mention"/>
    <w:basedOn w:val="24"/>
    <w:semiHidden/>
    <w:unhideWhenUsed/>
    <w:qFormat/>
    <w:uiPriority w:val="99"/>
    <w:rPr>
      <w:color w:val="808080"/>
      <w:shd w:val="clear" w:color="auto" w:fill="E6E6E6"/>
    </w:rPr>
  </w:style>
  <w:style w:type="character" w:customStyle="1" w:styleId="48">
    <w:name w:val="Heading 4 Char"/>
    <w:basedOn w:val="24"/>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9">
    <w:name w:val="Doc-text2 Char"/>
    <w:link w:val="50"/>
    <w:qFormat/>
    <w:locked/>
    <w:uiPriority w:val="0"/>
    <w:rPr>
      <w:rFonts w:ascii="Arial" w:hAnsi="Arial" w:eastAsia="Times New Roman" w:cs="Arial"/>
      <w:lang w:val="zh-CN" w:eastAsia="zh-CN"/>
    </w:rPr>
  </w:style>
  <w:style w:type="paragraph" w:customStyle="1" w:styleId="50">
    <w:name w:val="Doc-text2"/>
    <w:basedOn w:val="1"/>
    <w:link w:val="49"/>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51">
    <w:name w:val="Body Text Char"/>
    <w:basedOn w:val="24"/>
    <w:link w:val="9"/>
    <w:semiHidden/>
    <w:qFormat/>
    <w:uiPriority w:val="0"/>
    <w:rPr>
      <w:rFonts w:ascii="Arial" w:hAnsi="Arial"/>
      <w:lang w:val="da-DK" w:eastAsia="zh-CN"/>
    </w:rPr>
  </w:style>
  <w:style w:type="paragraph" w:customStyle="1" w:styleId="52">
    <w:name w:val="Agreement"/>
    <w:basedOn w:val="1"/>
    <w:next w:val="50"/>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3">
    <w:name w:val="TAL"/>
    <w:basedOn w:val="1"/>
    <w:link w:val="54"/>
    <w:qFormat/>
    <w:uiPriority w:val="0"/>
    <w:pPr>
      <w:keepNext/>
      <w:keepLines/>
      <w:spacing w:after="0" w:line="240" w:lineRule="auto"/>
    </w:pPr>
    <w:rPr>
      <w:rFonts w:ascii="Arial" w:hAnsi="Arial" w:eastAsia="Times New Roman" w:cs="Times New Roman"/>
      <w:sz w:val="18"/>
      <w:szCs w:val="20"/>
      <w:lang w:val="en-GB"/>
    </w:rPr>
  </w:style>
  <w:style w:type="character" w:customStyle="1" w:styleId="54">
    <w:name w:val="TAL Char"/>
    <w:link w:val="53"/>
    <w:qFormat/>
    <w:locked/>
    <w:uiPriority w:val="0"/>
    <w:rPr>
      <w:rFonts w:ascii="Arial" w:hAnsi="Arial" w:eastAsia="Times New Roman" w:cs="Times New Roman"/>
      <w:sz w:val="18"/>
      <w:szCs w:val="20"/>
      <w:lang w:val="en-GB"/>
    </w:rPr>
  </w:style>
  <w:style w:type="paragraph" w:customStyle="1" w:styleId="55">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6">
    <w:name w:val="EmailDiscussion"/>
    <w:basedOn w:val="1"/>
    <w:next w:val="1"/>
    <w:link w:val="57"/>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7">
    <w:name w:val="EmailDiscussion Char"/>
    <w:link w:val="56"/>
    <w:qFormat/>
    <w:uiPriority w:val="0"/>
    <w:rPr>
      <w:rFonts w:ascii="Arial" w:hAnsi="Arial" w:eastAsia="MS Mincho" w:cs="Times New Roman"/>
      <w:b/>
      <w:sz w:val="20"/>
      <w:szCs w:val="24"/>
      <w:lang w:val="en-GB" w:eastAsia="en-GB"/>
    </w:rPr>
  </w:style>
  <w:style w:type="character" w:customStyle="1" w:styleId="58">
    <w:name w:val="Header Char"/>
    <w:basedOn w:val="24"/>
    <w:link w:val="18"/>
    <w:semiHidden/>
    <w:qFormat/>
    <w:locked/>
    <w:uiPriority w:val="0"/>
    <w:rPr>
      <w:rFonts w:ascii="Tms Rmn" w:hAnsi="Tms Rmn"/>
      <w:b/>
      <w:sz w:val="18"/>
    </w:rPr>
  </w:style>
  <w:style w:type="character" w:customStyle="1" w:styleId="59">
    <w:name w:val="Header Char1"/>
    <w:basedOn w:val="24"/>
    <w:semiHidden/>
    <w:qFormat/>
    <w:uiPriority w:val="99"/>
    <w:rPr>
      <w:rFonts w:ascii="Times New Roman" w:hAnsi="Times New Roman"/>
      <w:sz w:val="20"/>
    </w:rPr>
  </w:style>
  <w:style w:type="character" w:customStyle="1" w:styleId="60">
    <w:name w:val="Balloon Text Char"/>
    <w:basedOn w:val="24"/>
    <w:link w:val="17"/>
    <w:semiHidden/>
    <w:qFormat/>
    <w:uiPriority w:val="99"/>
    <w:rPr>
      <w:rFonts w:ascii="Segoe UI" w:hAnsi="Segoe UI" w:cs="Segoe UI"/>
      <w:sz w:val="18"/>
      <w:szCs w:val="18"/>
    </w:rPr>
  </w:style>
  <w:style w:type="character" w:customStyle="1" w:styleId="61">
    <w:name w:val="CR Cover Page Zchn"/>
    <w:link w:val="62"/>
    <w:qFormat/>
    <w:locked/>
    <w:uiPriority w:val="0"/>
    <w:rPr>
      <w:rFonts w:ascii="Arial" w:hAnsi="Arial" w:cs="Arial"/>
      <w:lang w:val="en-GB"/>
    </w:rPr>
  </w:style>
  <w:style w:type="paragraph" w:customStyle="1" w:styleId="62">
    <w:name w:val="CR Cover Page"/>
    <w:link w:val="61"/>
    <w:qFormat/>
    <w:uiPriority w:val="0"/>
    <w:pPr>
      <w:spacing w:after="120" w:line="240" w:lineRule="auto"/>
    </w:pPr>
    <w:rPr>
      <w:rFonts w:ascii="Arial" w:hAnsi="Arial" w:cs="Arial" w:eastAsiaTheme="minorHAnsi"/>
      <w:sz w:val="22"/>
      <w:szCs w:val="22"/>
      <w:lang w:val="en-GB" w:eastAsia="en-US" w:bidi="ar-SA"/>
    </w:rPr>
  </w:style>
  <w:style w:type="character" w:customStyle="1" w:styleId="63">
    <w:name w:val="Comment Text Char"/>
    <w:basedOn w:val="24"/>
    <w:link w:val="8"/>
    <w:semiHidden/>
    <w:qFormat/>
    <w:uiPriority w:val="99"/>
    <w:rPr>
      <w:rFonts w:ascii="Times New Roman" w:hAnsi="Times New Roman"/>
      <w:sz w:val="20"/>
      <w:szCs w:val="20"/>
    </w:rPr>
  </w:style>
  <w:style w:type="character" w:customStyle="1" w:styleId="64">
    <w:name w:val="Comment Subject Char"/>
    <w:basedOn w:val="63"/>
    <w:link w:val="21"/>
    <w:semiHidden/>
    <w:qFormat/>
    <w:uiPriority w:val="99"/>
    <w:rPr>
      <w:rFonts w:ascii="Times New Roman" w:hAnsi="Times New Roman"/>
      <w:b/>
      <w:bCs/>
      <w:sz w:val="20"/>
      <w:szCs w:val="20"/>
    </w:rPr>
  </w:style>
  <w:style w:type="paragraph" w:customStyle="1" w:styleId="65">
    <w:name w:val="3GPP Normal Text"/>
    <w:basedOn w:val="9"/>
    <w:link w:val="66"/>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6">
    <w:name w:val="3GPP Normal Text Char"/>
    <w:link w:val="65"/>
    <w:qFormat/>
    <w:uiPriority w:val="0"/>
    <w:rPr>
      <w:rFonts w:ascii="Times New Roman" w:hAnsi="Times New Roman" w:eastAsia="MS Mincho" w:cs="Arial"/>
      <w:sz w:val="20"/>
      <w:szCs w:val="24"/>
    </w:rPr>
  </w:style>
  <w:style w:type="paragraph" w:customStyle="1" w:styleId="67">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8">
    <w:name w:val="TH"/>
    <w:basedOn w:val="1"/>
    <w:qFormat/>
    <w:uiPriority w:val="0"/>
    <w:pPr>
      <w:keepNext/>
      <w:keepLines/>
      <w:spacing w:before="60"/>
      <w:jc w:val="center"/>
    </w:pPr>
    <w:rPr>
      <w:rFonts w:ascii="Arial" w:hAnsi="Arial"/>
      <w:b/>
      <w:lang w:eastAsia="zh-CN"/>
    </w:rPr>
  </w:style>
  <w:style w:type="paragraph" w:customStyle="1" w:styleId="69">
    <w:name w:val="NO"/>
    <w:basedOn w:val="1"/>
    <w:qFormat/>
    <w:uiPriority w:val="0"/>
    <w:pPr>
      <w:keepLines/>
      <w:ind w:left="1135" w:hanging="851"/>
    </w:pPr>
    <w:rPr>
      <w:lang w:eastAsia="zh-CN"/>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71">
    <w:name w:val="B1"/>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2020-10-23T23:56:41Z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